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74C" w:rsidRPr="00D56A87" w:rsidRDefault="0055474C" w:rsidP="0055474C">
      <w:pPr>
        <w:jc w:val="both"/>
      </w:pPr>
    </w:p>
    <w:p w:rsidR="0055474C" w:rsidRPr="000C3A5B" w:rsidRDefault="0055474C" w:rsidP="00E05D1B">
      <w:pPr>
        <w:pStyle w:val="Heading2"/>
        <w:pBdr>
          <w:bottom w:val="single" w:sz="6" w:space="1" w:color="9EA616"/>
        </w:pBdr>
        <w:spacing w:after="240"/>
        <w:rPr>
          <w:color w:val="9EA616"/>
          <w:sz w:val="28"/>
        </w:rPr>
      </w:pPr>
      <w:bookmarkStart w:id="0" w:name="_Toc87528035"/>
      <w:r w:rsidRPr="000C3A5B">
        <w:rPr>
          <w:color w:val="9EA616"/>
          <w:sz w:val="28"/>
        </w:rPr>
        <w:t>Formular de raportare</w:t>
      </w:r>
      <w:bookmarkEnd w:id="0"/>
      <w:r w:rsidR="00ED5563">
        <w:rPr>
          <w:color w:val="9EA616"/>
          <w:sz w:val="28"/>
        </w:rPr>
        <w:t xml:space="preserve"> – Recomandări privind abordarea prudentă a riscului climatic</w:t>
      </w:r>
    </w:p>
    <w:p w:rsidR="0055474C" w:rsidRPr="00D56A87" w:rsidRDefault="0055474C" w:rsidP="0055474C">
      <w:pPr>
        <w:jc w:val="both"/>
      </w:pPr>
    </w:p>
    <w:tbl>
      <w:tblPr>
        <w:tblStyle w:val="TableGrid"/>
        <w:tblW w:w="9355" w:type="dxa"/>
        <w:tblLook w:val="04A0" w:firstRow="1" w:lastRow="0" w:firstColumn="1" w:lastColumn="0" w:noHBand="0" w:noVBand="1"/>
      </w:tblPr>
      <w:tblGrid>
        <w:gridCol w:w="2965"/>
        <w:gridCol w:w="6390"/>
      </w:tblGrid>
      <w:tr w:rsidR="0055474C" w:rsidRPr="00D56A87" w:rsidTr="00546F4C">
        <w:tc>
          <w:tcPr>
            <w:tcW w:w="2965" w:type="dxa"/>
            <w:shd w:val="clear" w:color="auto" w:fill="EFE6DA"/>
          </w:tcPr>
          <w:p w:rsidR="0055474C" w:rsidRPr="00D56A87" w:rsidRDefault="0055474C" w:rsidP="00143DC4">
            <w:r w:rsidRPr="00D56A87">
              <w:t>Denumire entitate</w:t>
            </w:r>
            <w:r>
              <w:t>:</w:t>
            </w:r>
          </w:p>
        </w:tc>
        <w:tc>
          <w:tcPr>
            <w:tcW w:w="6390" w:type="dxa"/>
            <w:shd w:val="clear" w:color="auto" w:fill="auto"/>
          </w:tcPr>
          <w:p w:rsidR="0055474C" w:rsidRPr="00D56A87" w:rsidRDefault="0055474C" w:rsidP="00143DC4"/>
        </w:tc>
      </w:tr>
      <w:tr w:rsidR="0055474C" w:rsidRPr="00D56A87" w:rsidTr="00546F4C">
        <w:tc>
          <w:tcPr>
            <w:tcW w:w="2965" w:type="dxa"/>
            <w:shd w:val="clear" w:color="auto" w:fill="EFE6DA"/>
          </w:tcPr>
          <w:p w:rsidR="0055474C" w:rsidRPr="00D56A87" w:rsidRDefault="0055474C" w:rsidP="00143DC4">
            <w:r w:rsidRPr="00D56A87">
              <w:t>Nr. Identificare Registrul ASF</w:t>
            </w:r>
            <w:r>
              <w:t>:</w:t>
            </w:r>
          </w:p>
        </w:tc>
        <w:tc>
          <w:tcPr>
            <w:tcW w:w="6390" w:type="dxa"/>
            <w:shd w:val="clear" w:color="auto" w:fill="auto"/>
          </w:tcPr>
          <w:p w:rsidR="0055474C" w:rsidRPr="00D56A87" w:rsidRDefault="0055474C" w:rsidP="00143DC4"/>
        </w:tc>
      </w:tr>
      <w:tr w:rsidR="0055474C" w:rsidRPr="00D56A87" w:rsidTr="00546F4C">
        <w:tc>
          <w:tcPr>
            <w:tcW w:w="2965" w:type="dxa"/>
            <w:shd w:val="clear" w:color="auto" w:fill="EFE6DA"/>
          </w:tcPr>
          <w:p w:rsidR="0055474C" w:rsidRPr="00D56A87" w:rsidRDefault="0055474C" w:rsidP="00143DC4">
            <w:r w:rsidRPr="00D56A87">
              <w:t>Tip entitate</w:t>
            </w:r>
            <w:r>
              <w:t>:</w:t>
            </w:r>
          </w:p>
        </w:tc>
        <w:tc>
          <w:tcPr>
            <w:tcW w:w="6390" w:type="dxa"/>
            <w:shd w:val="clear" w:color="auto" w:fill="auto"/>
          </w:tcPr>
          <w:p w:rsidR="0055474C" w:rsidRPr="00D56A87" w:rsidRDefault="0055474C" w:rsidP="00143DC4"/>
        </w:tc>
      </w:tr>
      <w:tr w:rsidR="0055474C" w:rsidRPr="00D56A87" w:rsidTr="00546F4C">
        <w:tc>
          <w:tcPr>
            <w:tcW w:w="2965" w:type="dxa"/>
            <w:shd w:val="clear" w:color="auto" w:fill="EFE6DA"/>
          </w:tcPr>
          <w:p w:rsidR="0055474C" w:rsidRPr="00D56A87" w:rsidRDefault="0055474C" w:rsidP="00143DC4">
            <w:r w:rsidRPr="00D56A87">
              <w:t>Recomandări</w:t>
            </w:r>
            <w:r>
              <w:t>:</w:t>
            </w:r>
          </w:p>
        </w:tc>
        <w:tc>
          <w:tcPr>
            <w:tcW w:w="6390" w:type="dxa"/>
            <w:shd w:val="clear" w:color="auto" w:fill="auto"/>
          </w:tcPr>
          <w:p w:rsidR="0055474C" w:rsidRPr="00D56A87" w:rsidRDefault="0055474C" w:rsidP="00143DC4"/>
        </w:tc>
      </w:tr>
      <w:tr w:rsidR="0055474C" w:rsidRPr="00D56A87" w:rsidTr="00546F4C">
        <w:tc>
          <w:tcPr>
            <w:tcW w:w="9355" w:type="dxa"/>
            <w:gridSpan w:val="2"/>
            <w:shd w:val="clear" w:color="auto" w:fill="EFE6DA"/>
          </w:tcPr>
          <w:p w:rsidR="0055474C" w:rsidRPr="00546F4C" w:rsidRDefault="0055474C" w:rsidP="00143DC4">
            <w:pPr>
              <w:rPr>
                <w:color w:val="463521"/>
              </w:rPr>
            </w:pPr>
            <w:r w:rsidRPr="00546F4C">
              <w:rPr>
                <w:color w:val="463521"/>
              </w:rPr>
              <w:t>Recomandarea nr. 1. Abordarea riscurilor de sustenabilitate ca factori cu potențial de accentuare a celorlalte tipuri de riscuri</w:t>
            </w:r>
          </w:p>
        </w:tc>
      </w:tr>
      <w:tr w:rsidR="0055474C" w:rsidRPr="00D56A87" w:rsidTr="00143DC4">
        <w:tc>
          <w:tcPr>
            <w:tcW w:w="9355" w:type="dxa"/>
            <w:gridSpan w:val="2"/>
          </w:tcPr>
          <w:p w:rsidR="0055474C" w:rsidRPr="00546F4C" w:rsidRDefault="0055474C" w:rsidP="00143DC4">
            <w:pPr>
              <w:rPr>
                <w:i/>
                <w:color w:val="463521"/>
              </w:rPr>
            </w:pPr>
            <w:r w:rsidRPr="00546F4C">
              <w:rPr>
                <w:i/>
                <w:color w:val="463521"/>
              </w:rPr>
              <w:t>Demersuri întreprinse:</w:t>
            </w:r>
          </w:p>
          <w:p w:rsidR="0055474C" w:rsidRPr="00546F4C" w:rsidRDefault="0055474C" w:rsidP="00143DC4">
            <w:pPr>
              <w:rPr>
                <w:color w:val="463521"/>
              </w:rPr>
            </w:pPr>
          </w:p>
        </w:tc>
      </w:tr>
      <w:tr w:rsidR="0055474C" w:rsidRPr="00D56A87" w:rsidTr="00546F4C">
        <w:tc>
          <w:tcPr>
            <w:tcW w:w="9355" w:type="dxa"/>
            <w:gridSpan w:val="2"/>
            <w:shd w:val="clear" w:color="auto" w:fill="EFE6DA"/>
          </w:tcPr>
          <w:p w:rsidR="0055474C" w:rsidRPr="00546F4C" w:rsidRDefault="0055474C" w:rsidP="00143DC4">
            <w:pPr>
              <w:rPr>
                <w:color w:val="463521"/>
              </w:rPr>
            </w:pPr>
            <w:r w:rsidRPr="00546F4C">
              <w:rPr>
                <w:color w:val="463521"/>
              </w:rPr>
              <w:t xml:space="preserve">Recomandarea nr. 2. </w:t>
            </w:r>
            <w:r w:rsidR="00E6787E" w:rsidRPr="00546F4C">
              <w:rPr>
                <w:color w:val="463521"/>
              </w:rPr>
              <w:t>Revizuirea strategiei cu referire la planurile de afaceri și programele de activități pe termen scurt mediu și lung cu includerea riscurilor de sustenabilitate</w:t>
            </w:r>
          </w:p>
        </w:tc>
      </w:tr>
      <w:tr w:rsidR="0055474C" w:rsidRPr="00D56A87" w:rsidTr="00143DC4">
        <w:tc>
          <w:tcPr>
            <w:tcW w:w="9355" w:type="dxa"/>
            <w:gridSpan w:val="2"/>
          </w:tcPr>
          <w:p w:rsidR="0055474C" w:rsidRPr="00546F4C" w:rsidRDefault="0055474C" w:rsidP="00143DC4">
            <w:pPr>
              <w:rPr>
                <w:i/>
                <w:color w:val="463521"/>
              </w:rPr>
            </w:pPr>
            <w:r w:rsidRPr="00546F4C">
              <w:rPr>
                <w:i/>
                <w:color w:val="463521"/>
              </w:rPr>
              <w:t>Demersuri întreprinse:</w:t>
            </w:r>
          </w:p>
          <w:p w:rsidR="0055474C" w:rsidRPr="00546F4C" w:rsidRDefault="0055474C" w:rsidP="00143DC4">
            <w:pPr>
              <w:rPr>
                <w:color w:val="463521"/>
              </w:rPr>
            </w:pPr>
          </w:p>
        </w:tc>
      </w:tr>
      <w:tr w:rsidR="0055474C" w:rsidRPr="00D56A87" w:rsidTr="00546F4C">
        <w:tc>
          <w:tcPr>
            <w:tcW w:w="9355" w:type="dxa"/>
            <w:gridSpan w:val="2"/>
            <w:shd w:val="clear" w:color="auto" w:fill="EFE6DA"/>
          </w:tcPr>
          <w:p w:rsidR="0055474C" w:rsidRPr="00546F4C" w:rsidRDefault="0055474C" w:rsidP="00143DC4">
            <w:pPr>
              <w:rPr>
                <w:color w:val="463521"/>
              </w:rPr>
            </w:pPr>
            <w:r w:rsidRPr="00546F4C">
              <w:rPr>
                <w:color w:val="463521"/>
              </w:rPr>
              <w:t>Recomandarea nr. 3. Revizuirea politicilor privind riscurile pentru includerea riscurilor de sustenabilitate</w:t>
            </w:r>
          </w:p>
        </w:tc>
      </w:tr>
      <w:tr w:rsidR="0055474C" w:rsidRPr="00D56A87" w:rsidTr="00143DC4">
        <w:tc>
          <w:tcPr>
            <w:tcW w:w="9355" w:type="dxa"/>
            <w:gridSpan w:val="2"/>
          </w:tcPr>
          <w:p w:rsidR="0055474C" w:rsidRPr="00546F4C" w:rsidRDefault="0055474C" w:rsidP="00143DC4">
            <w:pPr>
              <w:rPr>
                <w:i/>
                <w:color w:val="463521"/>
              </w:rPr>
            </w:pPr>
            <w:r w:rsidRPr="00546F4C">
              <w:rPr>
                <w:i/>
                <w:color w:val="463521"/>
              </w:rPr>
              <w:t>Demersuri întreprinse:</w:t>
            </w:r>
          </w:p>
          <w:p w:rsidR="0055474C" w:rsidRPr="00546F4C" w:rsidRDefault="0055474C" w:rsidP="00143DC4">
            <w:pPr>
              <w:rPr>
                <w:color w:val="463521"/>
              </w:rPr>
            </w:pPr>
          </w:p>
        </w:tc>
      </w:tr>
      <w:tr w:rsidR="0055474C" w:rsidRPr="00D56A87" w:rsidTr="00546F4C">
        <w:tc>
          <w:tcPr>
            <w:tcW w:w="9355" w:type="dxa"/>
            <w:gridSpan w:val="2"/>
            <w:shd w:val="clear" w:color="auto" w:fill="EFE6DA"/>
          </w:tcPr>
          <w:p w:rsidR="0055474C" w:rsidRPr="00546F4C" w:rsidRDefault="0055474C" w:rsidP="00E6787E">
            <w:pPr>
              <w:rPr>
                <w:color w:val="463521"/>
              </w:rPr>
            </w:pPr>
            <w:r w:rsidRPr="00546F4C">
              <w:rPr>
                <w:color w:val="463521"/>
              </w:rPr>
              <w:t xml:space="preserve">Recomandarea nr. 4. Implementarea unei politici de guvernanță </w:t>
            </w:r>
            <w:r w:rsidR="00E6787E" w:rsidRPr="00546F4C">
              <w:rPr>
                <w:color w:val="463521"/>
              </w:rPr>
              <w:t>climatică</w:t>
            </w:r>
          </w:p>
        </w:tc>
      </w:tr>
      <w:tr w:rsidR="0055474C" w:rsidRPr="00D56A87" w:rsidTr="00143DC4">
        <w:tc>
          <w:tcPr>
            <w:tcW w:w="9355" w:type="dxa"/>
            <w:gridSpan w:val="2"/>
          </w:tcPr>
          <w:p w:rsidR="0055474C" w:rsidRPr="00546F4C" w:rsidRDefault="0055474C" w:rsidP="00143DC4">
            <w:pPr>
              <w:rPr>
                <w:i/>
                <w:color w:val="463521"/>
              </w:rPr>
            </w:pPr>
            <w:r w:rsidRPr="00546F4C">
              <w:rPr>
                <w:i/>
                <w:color w:val="463521"/>
              </w:rPr>
              <w:t>Demersuri întreprinse:</w:t>
            </w:r>
          </w:p>
          <w:p w:rsidR="0055474C" w:rsidRPr="00546F4C" w:rsidRDefault="0055474C" w:rsidP="00143DC4">
            <w:pPr>
              <w:rPr>
                <w:color w:val="463521"/>
              </w:rPr>
            </w:pPr>
          </w:p>
        </w:tc>
      </w:tr>
      <w:tr w:rsidR="0055474C" w:rsidRPr="00D56A87" w:rsidTr="00546F4C">
        <w:tc>
          <w:tcPr>
            <w:tcW w:w="9355" w:type="dxa"/>
            <w:gridSpan w:val="2"/>
            <w:shd w:val="clear" w:color="auto" w:fill="EFE6DA"/>
          </w:tcPr>
          <w:p w:rsidR="0055474C" w:rsidRPr="00546F4C" w:rsidRDefault="0055474C" w:rsidP="00143DC4">
            <w:pPr>
              <w:rPr>
                <w:color w:val="463521"/>
              </w:rPr>
            </w:pPr>
            <w:r w:rsidRPr="00546F4C">
              <w:rPr>
                <w:color w:val="463521"/>
              </w:rPr>
              <w:t>Recomandarea nr. 5. Includerea riscurilor de sustenabilitate în procesele și politicile interne ale entității, în funcție de natura, dimensiunea şi complexitatea activităţii, precum şi de natura şi gama serviciilor şi activităţilor desfăşurate</w:t>
            </w:r>
            <w:r w:rsidR="008F2D97" w:rsidRPr="00546F4C">
              <w:rPr>
                <w:color w:val="463521"/>
              </w:rPr>
              <w:t xml:space="preserve"> de </w:t>
            </w:r>
            <w:r w:rsidRPr="00546F4C">
              <w:rPr>
                <w:color w:val="463521"/>
              </w:rPr>
              <w:t>organizație</w:t>
            </w:r>
          </w:p>
        </w:tc>
      </w:tr>
      <w:tr w:rsidR="0055474C" w:rsidRPr="00D56A87" w:rsidTr="00143DC4">
        <w:tc>
          <w:tcPr>
            <w:tcW w:w="9355" w:type="dxa"/>
            <w:gridSpan w:val="2"/>
          </w:tcPr>
          <w:p w:rsidR="0055474C" w:rsidRPr="00546F4C" w:rsidRDefault="0055474C" w:rsidP="00143DC4">
            <w:pPr>
              <w:rPr>
                <w:i/>
                <w:color w:val="463521"/>
              </w:rPr>
            </w:pPr>
            <w:r w:rsidRPr="00546F4C">
              <w:rPr>
                <w:i/>
                <w:color w:val="463521"/>
              </w:rPr>
              <w:t>Demersuri întreprinse:</w:t>
            </w:r>
          </w:p>
          <w:p w:rsidR="0055474C" w:rsidRPr="00546F4C" w:rsidRDefault="0055474C" w:rsidP="00143DC4">
            <w:pPr>
              <w:rPr>
                <w:color w:val="463521"/>
              </w:rPr>
            </w:pPr>
          </w:p>
        </w:tc>
      </w:tr>
      <w:tr w:rsidR="0055474C" w:rsidRPr="00D56A87" w:rsidTr="00546F4C">
        <w:tc>
          <w:tcPr>
            <w:tcW w:w="9355" w:type="dxa"/>
            <w:gridSpan w:val="2"/>
            <w:shd w:val="clear" w:color="auto" w:fill="EFE6DA"/>
          </w:tcPr>
          <w:p w:rsidR="0055474C" w:rsidRPr="00546F4C" w:rsidRDefault="0055474C" w:rsidP="00143DC4">
            <w:pPr>
              <w:rPr>
                <w:color w:val="463521"/>
              </w:rPr>
            </w:pPr>
            <w:r w:rsidRPr="00546F4C">
              <w:rPr>
                <w:color w:val="463521"/>
              </w:rPr>
              <w:t>Recomandarea nr. 6 - Asigurarea transparenței și comunicarea publică privind abordarea factorilor de sustenabilitate</w:t>
            </w:r>
          </w:p>
        </w:tc>
      </w:tr>
      <w:tr w:rsidR="0055474C" w:rsidRPr="00D56A87" w:rsidTr="00143DC4">
        <w:tc>
          <w:tcPr>
            <w:tcW w:w="9355" w:type="dxa"/>
            <w:gridSpan w:val="2"/>
          </w:tcPr>
          <w:p w:rsidR="0055474C" w:rsidRPr="00546F4C" w:rsidRDefault="0055474C" w:rsidP="00143DC4">
            <w:pPr>
              <w:rPr>
                <w:i/>
                <w:color w:val="463521"/>
              </w:rPr>
            </w:pPr>
            <w:r w:rsidRPr="00546F4C">
              <w:rPr>
                <w:i/>
                <w:color w:val="463521"/>
              </w:rPr>
              <w:t>Demersuri întreprinse:</w:t>
            </w:r>
          </w:p>
          <w:p w:rsidR="0055474C" w:rsidRPr="00546F4C" w:rsidRDefault="0055474C" w:rsidP="00143DC4">
            <w:pPr>
              <w:rPr>
                <w:color w:val="463521"/>
              </w:rPr>
            </w:pPr>
          </w:p>
        </w:tc>
      </w:tr>
      <w:tr w:rsidR="0055474C" w:rsidRPr="00534F73" w:rsidTr="00546F4C">
        <w:tc>
          <w:tcPr>
            <w:tcW w:w="9355" w:type="dxa"/>
            <w:gridSpan w:val="2"/>
            <w:shd w:val="clear" w:color="auto" w:fill="EFE6DA"/>
          </w:tcPr>
          <w:p w:rsidR="0055474C" w:rsidRPr="00546F4C" w:rsidRDefault="0055474C" w:rsidP="00143DC4">
            <w:pPr>
              <w:rPr>
                <w:color w:val="463521"/>
              </w:rPr>
            </w:pPr>
            <w:r w:rsidRPr="00546F4C">
              <w:rPr>
                <w:color w:val="463521"/>
              </w:rPr>
              <w:t>Eventuale constatări, identificări ale altor riscuri sau influențe negative în ceea ce privește factorii de sustenabilitate și tranziția către o economie verde efectuate de către entități:</w:t>
            </w:r>
          </w:p>
        </w:tc>
      </w:tr>
      <w:tr w:rsidR="0055474C" w:rsidRPr="00D56A87" w:rsidTr="00143DC4">
        <w:tc>
          <w:tcPr>
            <w:tcW w:w="9355" w:type="dxa"/>
            <w:gridSpan w:val="2"/>
          </w:tcPr>
          <w:p w:rsidR="0055474C" w:rsidRDefault="0055474C" w:rsidP="00143DC4">
            <w:pPr>
              <w:rPr>
                <w:i/>
              </w:rPr>
            </w:pPr>
          </w:p>
          <w:p w:rsidR="0055474C" w:rsidRPr="00D56A87" w:rsidRDefault="0055474C" w:rsidP="00143DC4">
            <w:pPr>
              <w:rPr>
                <w:i/>
              </w:rPr>
            </w:pPr>
          </w:p>
        </w:tc>
      </w:tr>
    </w:tbl>
    <w:p w:rsidR="0055474C" w:rsidRPr="00D56A87" w:rsidRDefault="0055474C" w:rsidP="0055474C">
      <w:pPr>
        <w:jc w:val="both"/>
        <w:rPr>
          <w:highlight w:val="yellow"/>
        </w:rPr>
      </w:pPr>
    </w:p>
    <w:p w:rsidR="00ED5563" w:rsidRPr="00766DAD" w:rsidRDefault="00ED5563" w:rsidP="00ED5563">
      <w:pPr>
        <w:jc w:val="both"/>
        <w:rPr>
          <w:sz w:val="24"/>
        </w:rPr>
      </w:pPr>
      <w:r w:rsidRPr="00766DAD">
        <w:rPr>
          <w:sz w:val="24"/>
        </w:rPr>
        <w:t xml:space="preserve">Formularul de raportare va fi transmis pe email la adresa </w:t>
      </w:r>
      <w:hyperlink r:id="rId8" w:history="1">
        <w:r w:rsidRPr="007342FA">
          <w:rPr>
            <w:rStyle w:val="Hyperlink"/>
            <w:sz w:val="24"/>
          </w:rPr>
          <w:t>raportari.sustenabilitate@asfromania.ro</w:t>
        </w:r>
      </w:hyperlink>
      <w:r>
        <w:rPr>
          <w:sz w:val="24"/>
        </w:rPr>
        <w:t xml:space="preserve"> </w:t>
      </w:r>
      <w:r w:rsidRPr="00766DAD">
        <w:rPr>
          <w:sz w:val="24"/>
        </w:rPr>
        <w:t>până la data de 30.06.2022. Autoritatea de Supraveghere Financiară va publica un material centralizat și anonim privind modalitatea de implementare a recomandării.</w:t>
      </w:r>
      <w:bookmarkStart w:id="1" w:name="_GoBack"/>
      <w:bookmarkEnd w:id="1"/>
    </w:p>
    <w:p w:rsidR="0055474C" w:rsidRPr="00D56A87" w:rsidRDefault="0055474C" w:rsidP="0055474C">
      <w:pPr>
        <w:jc w:val="both"/>
      </w:pPr>
    </w:p>
    <w:p w:rsidR="0055474C" w:rsidRPr="00D56A87" w:rsidRDefault="0055474C" w:rsidP="0055474C">
      <w:pPr>
        <w:jc w:val="both"/>
      </w:pPr>
    </w:p>
    <w:p w:rsidR="0013235B" w:rsidRPr="004F5E61" w:rsidRDefault="0013235B" w:rsidP="00E9410C">
      <w:pPr>
        <w:widowControl w:val="0"/>
        <w:suppressAutoHyphens/>
        <w:spacing w:after="120" w:line="360" w:lineRule="auto"/>
        <w:jc w:val="right"/>
        <w:rPr>
          <w:rFonts w:ascii="Times New Roman" w:eastAsia="Arial Unicode MS" w:hAnsi="Times New Roman" w:cs="Times New Roman"/>
          <w:b/>
          <w:sz w:val="24"/>
          <w:szCs w:val="24"/>
        </w:rPr>
      </w:pPr>
    </w:p>
    <w:sectPr w:rsidR="0013235B" w:rsidRPr="004F5E61" w:rsidSect="00ED5563">
      <w:headerReference w:type="default" r:id="rId9"/>
      <w:footerReference w:type="default" r:id="rId10"/>
      <w:pgSz w:w="12240" w:h="15840"/>
      <w:pgMar w:top="1440" w:right="135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D33" w:rsidRDefault="00241D33" w:rsidP="00E77567">
      <w:pPr>
        <w:spacing w:after="0" w:line="240" w:lineRule="auto"/>
      </w:pPr>
      <w:r>
        <w:separator/>
      </w:r>
    </w:p>
  </w:endnote>
  <w:endnote w:type="continuationSeparator" w:id="0">
    <w:p w:rsidR="00241D33" w:rsidRDefault="00241D33" w:rsidP="00E77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4274241"/>
      <w:docPartObj>
        <w:docPartGallery w:val="Page Numbers (Bottom of Page)"/>
        <w:docPartUnique/>
      </w:docPartObj>
    </w:sdtPr>
    <w:sdtEndPr/>
    <w:sdtContent>
      <w:sdt>
        <w:sdtPr>
          <w:id w:val="-1769616900"/>
          <w:docPartObj>
            <w:docPartGallery w:val="Page Numbers (Top of Page)"/>
            <w:docPartUnique/>
          </w:docPartObj>
        </w:sdtPr>
        <w:sdtEndPr/>
        <w:sdtContent>
          <w:p w:rsidR="00225908" w:rsidRDefault="00225908" w:rsidP="004E7396">
            <w:pPr>
              <w:pStyle w:val="Footer"/>
              <w:jc w:val="center"/>
            </w:pPr>
          </w:p>
          <w:p w:rsidR="000322B4" w:rsidRDefault="000322B4">
            <w:pPr>
              <w:pStyle w:val="Footer"/>
              <w:jc w:val="right"/>
            </w:pPr>
            <w:r>
              <w:t xml:space="preserve">Pagina </w:t>
            </w:r>
            <w:r w:rsidRPr="000322B4">
              <w:rPr>
                <w:bCs/>
                <w:sz w:val="24"/>
                <w:szCs w:val="24"/>
              </w:rPr>
              <w:fldChar w:fldCharType="begin"/>
            </w:r>
            <w:r w:rsidRPr="000322B4">
              <w:rPr>
                <w:bCs/>
              </w:rPr>
              <w:instrText xml:space="preserve"> PAGE </w:instrText>
            </w:r>
            <w:r w:rsidRPr="000322B4">
              <w:rPr>
                <w:bCs/>
                <w:sz w:val="24"/>
                <w:szCs w:val="24"/>
              </w:rPr>
              <w:fldChar w:fldCharType="separate"/>
            </w:r>
            <w:r w:rsidR="00ED5563">
              <w:rPr>
                <w:bCs/>
                <w:noProof/>
              </w:rPr>
              <w:t>1</w:t>
            </w:r>
            <w:r w:rsidRPr="000322B4">
              <w:rPr>
                <w:bCs/>
                <w:sz w:val="24"/>
                <w:szCs w:val="24"/>
              </w:rPr>
              <w:fldChar w:fldCharType="end"/>
            </w:r>
            <w:r>
              <w:t xml:space="preserve"> din </w:t>
            </w:r>
            <w:r w:rsidRPr="000322B4">
              <w:rPr>
                <w:bCs/>
                <w:sz w:val="24"/>
                <w:szCs w:val="24"/>
              </w:rPr>
              <w:fldChar w:fldCharType="begin"/>
            </w:r>
            <w:r w:rsidRPr="000322B4">
              <w:rPr>
                <w:bCs/>
              </w:rPr>
              <w:instrText xml:space="preserve"> NUMPAGES  </w:instrText>
            </w:r>
            <w:r w:rsidRPr="000322B4">
              <w:rPr>
                <w:bCs/>
                <w:sz w:val="24"/>
                <w:szCs w:val="24"/>
              </w:rPr>
              <w:fldChar w:fldCharType="separate"/>
            </w:r>
            <w:r w:rsidR="00ED5563">
              <w:rPr>
                <w:bCs/>
                <w:noProof/>
              </w:rPr>
              <w:t>2</w:t>
            </w:r>
            <w:r w:rsidRPr="000322B4">
              <w:rPr>
                <w:bCs/>
                <w:sz w:val="24"/>
                <w:szCs w:val="24"/>
              </w:rPr>
              <w:fldChar w:fldCharType="end"/>
            </w:r>
          </w:p>
        </w:sdtContent>
      </w:sdt>
    </w:sdtContent>
  </w:sdt>
  <w:p w:rsidR="00E77567" w:rsidRDefault="00E7756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D33" w:rsidRDefault="00241D33" w:rsidP="00E77567">
      <w:pPr>
        <w:spacing w:after="0" w:line="240" w:lineRule="auto"/>
      </w:pPr>
      <w:r>
        <w:separator/>
      </w:r>
    </w:p>
  </w:footnote>
  <w:footnote w:type="continuationSeparator" w:id="0">
    <w:p w:rsidR="00241D33" w:rsidRDefault="00241D33" w:rsidP="00E775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567" w:rsidRDefault="00E77567">
    <w:pPr>
      <w:pStyle w:val="Header"/>
    </w:pPr>
  </w:p>
  <w:p w:rsidR="001D6ADA" w:rsidRDefault="001D6ADA">
    <w:pPr>
      <w:pStyle w:val="Header"/>
    </w:pPr>
    <w:r w:rsidRPr="00EA2398">
      <w:rPr>
        <w:noProof/>
        <w:lang w:val="en-US"/>
      </w:rPr>
      <w:drawing>
        <wp:inline distT="0" distB="0" distL="0" distR="0" wp14:anchorId="32DAA9B4" wp14:editId="09AD261A">
          <wp:extent cx="5759450" cy="1011596"/>
          <wp:effectExtent l="0" t="0" r="0" b="0"/>
          <wp:docPr id="1" name="Picture 1" descr="C:\Users\adina.rugina\Desktop\IN LUCRU\MANUAL IDENTITATE VIZUALA ASF\MANUAL DE IDENTITATE VIZUALA - VARIANTA 2\ANTETE\antete in JPEG\antete in JPEG partea 1\antet ASF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ina.rugina\Desktop\IN LUCRU\MANUAL IDENTITATE VIZUALA ASF\MANUAL DE IDENTITATE VIZUALA - VARIANTA 2\ANTETE\antete in JPEG\antete in JPEG partea 1\antet ASF_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01159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A7400"/>
    <w:multiLevelType w:val="hybridMultilevel"/>
    <w:tmpl w:val="EED4C0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032BF8"/>
    <w:multiLevelType w:val="hybridMultilevel"/>
    <w:tmpl w:val="2ECA6DE4"/>
    <w:lvl w:ilvl="0" w:tplc="04090003">
      <w:start w:val="1"/>
      <w:numFmt w:val="bullet"/>
      <w:lvlText w:val="o"/>
      <w:lvlJc w:val="left"/>
      <w:pPr>
        <w:ind w:left="810" w:hanging="360"/>
      </w:pPr>
      <w:rPr>
        <w:rFonts w:ascii="Courier New" w:hAnsi="Courier New" w:cs="Courier New"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 w15:restartNumberingAfterBreak="0">
    <w:nsid w:val="2DC4610D"/>
    <w:multiLevelType w:val="hybridMultilevel"/>
    <w:tmpl w:val="0E645FBE"/>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4261A85"/>
    <w:multiLevelType w:val="hybridMultilevel"/>
    <w:tmpl w:val="800E38E4"/>
    <w:lvl w:ilvl="0" w:tplc="EC9EF9D8">
      <w:start w:val="1"/>
      <w:numFmt w:val="decimal"/>
      <w:pStyle w:val="04aNumbering"/>
      <w:lvlText w:val="%1."/>
      <w:lvlJc w:val="left"/>
      <w:pPr>
        <w:tabs>
          <w:tab w:val="num" w:pos="464"/>
        </w:tabs>
        <w:ind w:left="464" w:hanging="284"/>
      </w:pPr>
      <w:rPr>
        <w:rFonts w:ascii="Georgia" w:hAnsi="Georgia" w:hint="default"/>
        <w:b/>
        <w:sz w:val="20"/>
      </w:rPr>
    </w:lvl>
    <w:lvl w:ilvl="1" w:tplc="04180003">
      <w:start w:val="1"/>
      <w:numFmt w:val="upperLetter"/>
      <w:lvlText w:val="%2."/>
      <w:lvlJc w:val="left"/>
      <w:pPr>
        <w:tabs>
          <w:tab w:val="num" w:pos="1336"/>
        </w:tabs>
        <w:ind w:left="1336" w:hanging="360"/>
      </w:pPr>
    </w:lvl>
    <w:lvl w:ilvl="2" w:tplc="04180005">
      <w:start w:val="1"/>
      <w:numFmt w:val="lowerRoman"/>
      <w:lvlText w:val="%3."/>
      <w:lvlJc w:val="right"/>
      <w:pPr>
        <w:tabs>
          <w:tab w:val="num" w:pos="2056"/>
        </w:tabs>
        <w:ind w:left="2056" w:hanging="180"/>
      </w:pPr>
    </w:lvl>
    <w:lvl w:ilvl="3" w:tplc="04180001">
      <w:start w:val="1"/>
      <w:numFmt w:val="decimal"/>
      <w:lvlText w:val="%4."/>
      <w:lvlJc w:val="left"/>
      <w:pPr>
        <w:tabs>
          <w:tab w:val="num" w:pos="2776"/>
        </w:tabs>
        <w:ind w:left="2776" w:hanging="360"/>
      </w:pPr>
    </w:lvl>
    <w:lvl w:ilvl="4" w:tplc="04180003">
      <w:start w:val="1"/>
      <w:numFmt w:val="lowerLetter"/>
      <w:lvlText w:val="%5."/>
      <w:lvlJc w:val="left"/>
      <w:pPr>
        <w:tabs>
          <w:tab w:val="num" w:pos="3496"/>
        </w:tabs>
        <w:ind w:left="3496" w:hanging="360"/>
      </w:pPr>
    </w:lvl>
    <w:lvl w:ilvl="5" w:tplc="04180005">
      <w:start w:val="1"/>
      <w:numFmt w:val="lowerRoman"/>
      <w:lvlText w:val="%6."/>
      <w:lvlJc w:val="right"/>
      <w:pPr>
        <w:tabs>
          <w:tab w:val="num" w:pos="4216"/>
        </w:tabs>
        <w:ind w:left="4216" w:hanging="180"/>
      </w:pPr>
    </w:lvl>
    <w:lvl w:ilvl="6" w:tplc="04180001">
      <w:start w:val="1"/>
      <w:numFmt w:val="decimal"/>
      <w:lvlText w:val="%7."/>
      <w:lvlJc w:val="left"/>
      <w:pPr>
        <w:tabs>
          <w:tab w:val="num" w:pos="4936"/>
        </w:tabs>
        <w:ind w:left="4936" w:hanging="360"/>
      </w:pPr>
    </w:lvl>
    <w:lvl w:ilvl="7" w:tplc="04180003">
      <w:start w:val="1"/>
      <w:numFmt w:val="lowerLetter"/>
      <w:lvlText w:val="%8."/>
      <w:lvlJc w:val="left"/>
      <w:pPr>
        <w:tabs>
          <w:tab w:val="num" w:pos="5656"/>
        </w:tabs>
        <w:ind w:left="5656" w:hanging="360"/>
      </w:pPr>
    </w:lvl>
    <w:lvl w:ilvl="8" w:tplc="04180005">
      <w:start w:val="1"/>
      <w:numFmt w:val="lowerRoman"/>
      <w:lvlText w:val="%9."/>
      <w:lvlJc w:val="right"/>
      <w:pPr>
        <w:tabs>
          <w:tab w:val="num" w:pos="6376"/>
        </w:tabs>
        <w:ind w:left="6376" w:hanging="180"/>
      </w:pPr>
    </w:lvl>
  </w:abstractNum>
  <w:abstractNum w:abstractNumId="4" w15:restartNumberingAfterBreak="0">
    <w:nsid w:val="46C836FB"/>
    <w:multiLevelType w:val="hybridMultilevel"/>
    <w:tmpl w:val="34EA74DA"/>
    <w:lvl w:ilvl="0" w:tplc="BB46F83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DD5785"/>
    <w:multiLevelType w:val="multilevel"/>
    <w:tmpl w:val="BE8CB0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7872400"/>
    <w:multiLevelType w:val="hybridMultilevel"/>
    <w:tmpl w:val="94B6B6C0"/>
    <w:lvl w:ilvl="0" w:tplc="ABA8EE10">
      <w:start w:val="4"/>
      <w:numFmt w:val="bullet"/>
      <w:lvlText w:val="-"/>
      <w:lvlJc w:val="left"/>
      <w:pPr>
        <w:ind w:left="420" w:hanging="360"/>
      </w:pPr>
      <w:rPr>
        <w:rFonts w:ascii="Times New Roman" w:eastAsia="Arial Unicode MS"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5F6B5C22"/>
    <w:multiLevelType w:val="hybridMultilevel"/>
    <w:tmpl w:val="04BE6582"/>
    <w:lvl w:ilvl="0" w:tplc="C980AD78">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C9556FC"/>
    <w:multiLevelType w:val="hybridMultilevel"/>
    <w:tmpl w:val="773E11C6"/>
    <w:lvl w:ilvl="0" w:tplc="607849BC">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E61E7E"/>
    <w:multiLevelType w:val="hybridMultilevel"/>
    <w:tmpl w:val="F79CDDA0"/>
    <w:lvl w:ilvl="0" w:tplc="E6BA18C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C40D3C"/>
    <w:multiLevelType w:val="hybridMultilevel"/>
    <w:tmpl w:val="04A235A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0"/>
  </w:num>
  <w:num w:numId="5">
    <w:abstractNumId w:val="8"/>
  </w:num>
  <w:num w:numId="6">
    <w:abstractNumId w:val="0"/>
  </w:num>
  <w:num w:numId="7">
    <w:abstractNumId w:val="1"/>
  </w:num>
  <w:num w:numId="8">
    <w:abstractNumId w:val="7"/>
  </w:num>
  <w:num w:numId="9">
    <w:abstractNumId w:val="9"/>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FE6"/>
    <w:rsid w:val="000322B4"/>
    <w:rsid w:val="00067E34"/>
    <w:rsid w:val="000844B8"/>
    <w:rsid w:val="000A2FDF"/>
    <w:rsid w:val="000C3A5B"/>
    <w:rsid w:val="000D4631"/>
    <w:rsid w:val="000E0632"/>
    <w:rsid w:val="000E1655"/>
    <w:rsid w:val="0013235B"/>
    <w:rsid w:val="00165FDC"/>
    <w:rsid w:val="0018368A"/>
    <w:rsid w:val="001D6ADA"/>
    <w:rsid w:val="00225908"/>
    <w:rsid w:val="00241D33"/>
    <w:rsid w:val="00261D0F"/>
    <w:rsid w:val="0028020B"/>
    <w:rsid w:val="00325987"/>
    <w:rsid w:val="0033259D"/>
    <w:rsid w:val="00373BB5"/>
    <w:rsid w:val="00392D1B"/>
    <w:rsid w:val="00411A80"/>
    <w:rsid w:val="00431018"/>
    <w:rsid w:val="004341C4"/>
    <w:rsid w:val="004538D3"/>
    <w:rsid w:val="004E7396"/>
    <w:rsid w:val="004F04F8"/>
    <w:rsid w:val="004F5E61"/>
    <w:rsid w:val="0050077E"/>
    <w:rsid w:val="00546F4C"/>
    <w:rsid w:val="0055474C"/>
    <w:rsid w:val="005548CC"/>
    <w:rsid w:val="005D32F9"/>
    <w:rsid w:val="005E69EC"/>
    <w:rsid w:val="00645E59"/>
    <w:rsid w:val="00654C52"/>
    <w:rsid w:val="00687D4C"/>
    <w:rsid w:val="006974D9"/>
    <w:rsid w:val="006B4075"/>
    <w:rsid w:val="006E78D7"/>
    <w:rsid w:val="00716FB4"/>
    <w:rsid w:val="00730F8C"/>
    <w:rsid w:val="00740F03"/>
    <w:rsid w:val="00747F26"/>
    <w:rsid w:val="0079680B"/>
    <w:rsid w:val="007F727B"/>
    <w:rsid w:val="0085682C"/>
    <w:rsid w:val="0086028E"/>
    <w:rsid w:val="00877466"/>
    <w:rsid w:val="00884430"/>
    <w:rsid w:val="008D282E"/>
    <w:rsid w:val="008E2BEA"/>
    <w:rsid w:val="008F2D97"/>
    <w:rsid w:val="00903316"/>
    <w:rsid w:val="00910809"/>
    <w:rsid w:val="009256D7"/>
    <w:rsid w:val="00943F4C"/>
    <w:rsid w:val="00953BEA"/>
    <w:rsid w:val="00967646"/>
    <w:rsid w:val="0099418D"/>
    <w:rsid w:val="009D7E2C"/>
    <w:rsid w:val="009E58D1"/>
    <w:rsid w:val="00A327F0"/>
    <w:rsid w:val="00A521BC"/>
    <w:rsid w:val="00A65C2E"/>
    <w:rsid w:val="00AB4343"/>
    <w:rsid w:val="00B02C09"/>
    <w:rsid w:val="00B53C89"/>
    <w:rsid w:val="00BA64E2"/>
    <w:rsid w:val="00BF49F3"/>
    <w:rsid w:val="00C40004"/>
    <w:rsid w:val="00C404C0"/>
    <w:rsid w:val="00C61D66"/>
    <w:rsid w:val="00C82807"/>
    <w:rsid w:val="00D17E5E"/>
    <w:rsid w:val="00D75FE6"/>
    <w:rsid w:val="00D91CA0"/>
    <w:rsid w:val="00DB051B"/>
    <w:rsid w:val="00DE7CEE"/>
    <w:rsid w:val="00E05D1B"/>
    <w:rsid w:val="00E1200D"/>
    <w:rsid w:val="00E6787E"/>
    <w:rsid w:val="00E727B2"/>
    <w:rsid w:val="00E77567"/>
    <w:rsid w:val="00E9410C"/>
    <w:rsid w:val="00EA0C0A"/>
    <w:rsid w:val="00ED5563"/>
    <w:rsid w:val="00F45376"/>
    <w:rsid w:val="00F50F7D"/>
    <w:rsid w:val="00FF0B54"/>
    <w:rsid w:val="00FF2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E1B084"/>
  <w15:chartTrackingRefBased/>
  <w15:docId w15:val="{F257000E-441B-4C17-84D6-9A01F02CE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567"/>
    <w:rPr>
      <w:lang w:val="ro-RO"/>
    </w:rPr>
  </w:style>
  <w:style w:type="paragraph" w:styleId="Heading1">
    <w:name w:val="heading 1"/>
    <w:basedOn w:val="Normal"/>
    <w:next w:val="Normal"/>
    <w:link w:val="Heading1Char"/>
    <w:uiPriority w:val="9"/>
    <w:qFormat/>
    <w:rsid w:val="005547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547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5474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5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7567"/>
    <w:rPr>
      <w:lang w:val="ro-RO"/>
    </w:rPr>
  </w:style>
  <w:style w:type="paragraph" w:styleId="Footer">
    <w:name w:val="footer"/>
    <w:basedOn w:val="Normal"/>
    <w:link w:val="FooterChar"/>
    <w:uiPriority w:val="99"/>
    <w:unhideWhenUsed/>
    <w:rsid w:val="00E775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7567"/>
    <w:rPr>
      <w:lang w:val="ro-RO"/>
    </w:rPr>
  </w:style>
  <w:style w:type="paragraph" w:styleId="ListParagraph">
    <w:name w:val="List Paragraph"/>
    <w:basedOn w:val="Normal"/>
    <w:uiPriority w:val="34"/>
    <w:qFormat/>
    <w:rsid w:val="00E77567"/>
    <w:pPr>
      <w:ind w:left="720"/>
      <w:contextualSpacing/>
    </w:pPr>
  </w:style>
  <w:style w:type="paragraph" w:customStyle="1" w:styleId="Arial">
    <w:name w:val="Arial"/>
    <w:basedOn w:val="Normal"/>
    <w:uiPriority w:val="99"/>
    <w:rsid w:val="00E77567"/>
    <w:pPr>
      <w:spacing w:after="0" w:line="240" w:lineRule="auto"/>
    </w:pPr>
    <w:rPr>
      <w:rFonts w:ascii="Calibri" w:eastAsia="Times New Roman" w:hAnsi="Calibri" w:cs="Times New Roman"/>
      <w:b/>
      <w:bCs/>
      <w:sz w:val="24"/>
      <w:szCs w:val="24"/>
    </w:rPr>
  </w:style>
  <w:style w:type="character" w:customStyle="1" w:styleId="04aNumberingChar">
    <w:name w:val="04a_Numbering Char"/>
    <w:link w:val="04aNumbering"/>
    <w:locked/>
    <w:rsid w:val="00DE7CEE"/>
    <w:rPr>
      <w:rFonts w:ascii="Georgia" w:eastAsia="Times New Roman" w:hAnsi="Georgia"/>
      <w:szCs w:val="24"/>
      <w:lang w:val="en-GB" w:eastAsia="de-DE"/>
    </w:rPr>
  </w:style>
  <w:style w:type="paragraph" w:customStyle="1" w:styleId="04aNumbering">
    <w:name w:val="04a_Numbering"/>
    <w:basedOn w:val="Normal"/>
    <w:link w:val="04aNumberingChar"/>
    <w:rsid w:val="00DE7CEE"/>
    <w:pPr>
      <w:numPr>
        <w:numId w:val="2"/>
      </w:numPr>
      <w:spacing w:after="0" w:line="276" w:lineRule="auto"/>
      <w:jc w:val="both"/>
    </w:pPr>
    <w:rPr>
      <w:rFonts w:ascii="Georgia" w:eastAsia="Times New Roman" w:hAnsi="Georgia"/>
      <w:szCs w:val="24"/>
      <w:lang w:val="en-GB" w:eastAsia="de-DE"/>
    </w:rPr>
  </w:style>
  <w:style w:type="character" w:styleId="CommentReference">
    <w:name w:val="annotation reference"/>
    <w:basedOn w:val="DefaultParagraphFont"/>
    <w:uiPriority w:val="99"/>
    <w:semiHidden/>
    <w:unhideWhenUsed/>
    <w:rsid w:val="006E78D7"/>
    <w:rPr>
      <w:sz w:val="16"/>
      <w:szCs w:val="16"/>
    </w:rPr>
  </w:style>
  <w:style w:type="paragraph" w:styleId="CommentText">
    <w:name w:val="annotation text"/>
    <w:basedOn w:val="Normal"/>
    <w:link w:val="CommentTextChar"/>
    <w:uiPriority w:val="99"/>
    <w:semiHidden/>
    <w:unhideWhenUsed/>
    <w:rsid w:val="006E78D7"/>
    <w:pPr>
      <w:spacing w:line="240" w:lineRule="auto"/>
    </w:pPr>
    <w:rPr>
      <w:sz w:val="20"/>
      <w:szCs w:val="20"/>
    </w:rPr>
  </w:style>
  <w:style w:type="character" w:customStyle="1" w:styleId="CommentTextChar">
    <w:name w:val="Comment Text Char"/>
    <w:basedOn w:val="DefaultParagraphFont"/>
    <w:link w:val="CommentText"/>
    <w:uiPriority w:val="99"/>
    <w:semiHidden/>
    <w:rsid w:val="006E78D7"/>
    <w:rPr>
      <w:sz w:val="20"/>
      <w:szCs w:val="20"/>
      <w:lang w:val="ro-RO"/>
    </w:rPr>
  </w:style>
  <w:style w:type="paragraph" w:styleId="CommentSubject">
    <w:name w:val="annotation subject"/>
    <w:basedOn w:val="CommentText"/>
    <w:next w:val="CommentText"/>
    <w:link w:val="CommentSubjectChar"/>
    <w:uiPriority w:val="99"/>
    <w:semiHidden/>
    <w:unhideWhenUsed/>
    <w:rsid w:val="006E78D7"/>
    <w:rPr>
      <w:b/>
      <w:bCs/>
    </w:rPr>
  </w:style>
  <w:style w:type="character" w:customStyle="1" w:styleId="CommentSubjectChar">
    <w:name w:val="Comment Subject Char"/>
    <w:basedOn w:val="CommentTextChar"/>
    <w:link w:val="CommentSubject"/>
    <w:uiPriority w:val="99"/>
    <w:semiHidden/>
    <w:rsid w:val="006E78D7"/>
    <w:rPr>
      <w:b/>
      <w:bCs/>
      <w:sz w:val="20"/>
      <w:szCs w:val="20"/>
      <w:lang w:val="ro-RO"/>
    </w:rPr>
  </w:style>
  <w:style w:type="paragraph" w:styleId="BalloonText">
    <w:name w:val="Balloon Text"/>
    <w:basedOn w:val="Normal"/>
    <w:link w:val="BalloonTextChar"/>
    <w:uiPriority w:val="99"/>
    <w:semiHidden/>
    <w:unhideWhenUsed/>
    <w:rsid w:val="006E78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8D7"/>
    <w:rPr>
      <w:rFonts w:ascii="Segoe UI" w:hAnsi="Segoe UI" w:cs="Segoe UI"/>
      <w:sz w:val="18"/>
      <w:szCs w:val="18"/>
      <w:lang w:val="ro-RO"/>
    </w:rPr>
  </w:style>
  <w:style w:type="character" w:customStyle="1" w:styleId="Heading1Char">
    <w:name w:val="Heading 1 Char"/>
    <w:basedOn w:val="DefaultParagraphFont"/>
    <w:link w:val="Heading1"/>
    <w:uiPriority w:val="9"/>
    <w:rsid w:val="0055474C"/>
    <w:rPr>
      <w:rFonts w:asciiTheme="majorHAnsi" w:eastAsiaTheme="majorEastAsia" w:hAnsiTheme="majorHAnsi" w:cstheme="majorBidi"/>
      <w:color w:val="2E74B5" w:themeColor="accent1" w:themeShade="BF"/>
      <w:sz w:val="32"/>
      <w:szCs w:val="32"/>
      <w:lang w:val="ro-RO"/>
    </w:rPr>
  </w:style>
  <w:style w:type="character" w:customStyle="1" w:styleId="Heading2Char">
    <w:name w:val="Heading 2 Char"/>
    <w:basedOn w:val="DefaultParagraphFont"/>
    <w:link w:val="Heading2"/>
    <w:uiPriority w:val="9"/>
    <w:rsid w:val="0055474C"/>
    <w:rPr>
      <w:rFonts w:asciiTheme="majorHAnsi" w:eastAsiaTheme="majorEastAsia" w:hAnsiTheme="majorHAnsi" w:cstheme="majorBidi"/>
      <w:color w:val="2E74B5" w:themeColor="accent1" w:themeShade="BF"/>
      <w:sz w:val="26"/>
      <w:szCs w:val="26"/>
      <w:lang w:val="ro-RO"/>
    </w:rPr>
  </w:style>
  <w:style w:type="character" w:customStyle="1" w:styleId="Heading3Char">
    <w:name w:val="Heading 3 Char"/>
    <w:basedOn w:val="DefaultParagraphFont"/>
    <w:link w:val="Heading3"/>
    <w:uiPriority w:val="9"/>
    <w:rsid w:val="0055474C"/>
    <w:rPr>
      <w:rFonts w:asciiTheme="majorHAnsi" w:eastAsiaTheme="majorEastAsia" w:hAnsiTheme="majorHAnsi" w:cstheme="majorBidi"/>
      <w:color w:val="1F4D78" w:themeColor="accent1" w:themeShade="7F"/>
      <w:sz w:val="24"/>
      <w:szCs w:val="24"/>
      <w:lang w:val="ro-RO"/>
    </w:rPr>
  </w:style>
  <w:style w:type="character" w:styleId="Hyperlink">
    <w:name w:val="Hyperlink"/>
    <w:basedOn w:val="DefaultParagraphFont"/>
    <w:uiPriority w:val="99"/>
    <w:unhideWhenUsed/>
    <w:rsid w:val="0055474C"/>
    <w:rPr>
      <w:color w:val="0563C1" w:themeColor="hyperlink"/>
      <w:u w:val="single"/>
    </w:rPr>
  </w:style>
  <w:style w:type="paragraph" w:styleId="FootnoteText">
    <w:name w:val="footnote text"/>
    <w:basedOn w:val="Normal"/>
    <w:link w:val="FootnoteTextChar"/>
    <w:uiPriority w:val="99"/>
    <w:semiHidden/>
    <w:unhideWhenUsed/>
    <w:rsid w:val="005547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474C"/>
    <w:rPr>
      <w:sz w:val="20"/>
      <w:szCs w:val="20"/>
      <w:lang w:val="ro-RO"/>
    </w:rPr>
  </w:style>
  <w:style w:type="character" w:styleId="FootnoteReference">
    <w:name w:val="footnote reference"/>
    <w:basedOn w:val="DefaultParagraphFont"/>
    <w:uiPriority w:val="99"/>
    <w:semiHidden/>
    <w:unhideWhenUsed/>
    <w:rsid w:val="0055474C"/>
    <w:rPr>
      <w:vertAlign w:val="superscript"/>
    </w:rPr>
  </w:style>
  <w:style w:type="table" w:styleId="TableGrid">
    <w:name w:val="Table Grid"/>
    <w:basedOn w:val="TableNormal"/>
    <w:uiPriority w:val="39"/>
    <w:rsid w:val="005547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55474C"/>
    <w:pPr>
      <w:spacing w:after="100"/>
      <w:ind w:left="220"/>
    </w:pPr>
  </w:style>
  <w:style w:type="paragraph" w:styleId="TOC1">
    <w:name w:val="toc 1"/>
    <w:basedOn w:val="Normal"/>
    <w:next w:val="Normal"/>
    <w:autoRedefine/>
    <w:uiPriority w:val="39"/>
    <w:unhideWhenUsed/>
    <w:rsid w:val="0055474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portari.sustenabilitate@asfromania.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1EDEF-6BAF-4BB5-B28A-9087C496A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DGSSF</dc:creator>
  <cp:keywords/>
  <dc:description/>
  <cp:lastModifiedBy>CRISTESCU Lavinia</cp:lastModifiedBy>
  <cp:revision>3</cp:revision>
  <cp:lastPrinted>2021-11-18T09:23:00Z</cp:lastPrinted>
  <dcterms:created xsi:type="dcterms:W3CDTF">2021-11-18T09:48:00Z</dcterms:created>
  <dcterms:modified xsi:type="dcterms:W3CDTF">2021-11-18T09:50:00Z</dcterms:modified>
</cp:coreProperties>
</file>