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32" w:rsidRDefault="00247D32" w:rsidP="00862C92">
      <w:pPr>
        <w:pStyle w:val="NormalWeb"/>
        <w:rPr>
          <w:lang w:val="en"/>
        </w:rPr>
      </w:pPr>
      <w:r>
        <w:rPr>
          <w:noProof/>
          <w:lang w:eastAsia="en-US"/>
        </w:rPr>
        <w:drawing>
          <wp:inline distT="0" distB="0" distL="0" distR="0" wp14:anchorId="570F6CFE" wp14:editId="5D7FF411">
            <wp:extent cx="501015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D32" w:rsidRDefault="00247D32" w:rsidP="00862C92">
      <w:pPr>
        <w:pStyle w:val="NormalWeb"/>
        <w:rPr>
          <w:lang w:val="en"/>
        </w:rPr>
      </w:pPr>
    </w:p>
    <w:p w:rsidR="00862C92" w:rsidRDefault="00862C92" w:rsidP="00862C92">
      <w:pPr>
        <w:pStyle w:val="NormalWeb"/>
        <w:rPr>
          <w:lang w:val="en"/>
        </w:rPr>
      </w:pPr>
      <w:r>
        <w:rPr>
          <w:lang w:val="en"/>
        </w:rPr>
        <w:t>COMUNICAT</w:t>
      </w:r>
    </w:p>
    <w:p w:rsidR="00862C92" w:rsidRDefault="00862C92" w:rsidP="00862C92">
      <w:pPr>
        <w:pStyle w:val="NormalWeb"/>
        <w:rPr>
          <w:lang w:val="en"/>
        </w:rPr>
      </w:pPr>
    </w:p>
    <w:p w:rsidR="00862C92" w:rsidRPr="00B9656D" w:rsidRDefault="00091CAC" w:rsidP="008E4525">
      <w:pPr>
        <w:pStyle w:val="NormalWeb"/>
        <w:jc w:val="both"/>
        <w:rPr>
          <w:lang w:val="fr-FR"/>
        </w:rPr>
      </w:pPr>
      <w:proofErr w:type="spellStart"/>
      <w:r w:rsidRPr="00B9656D">
        <w:rPr>
          <w:lang w:val="fr-FR"/>
        </w:rPr>
        <w:t>În</w:t>
      </w:r>
      <w:proofErr w:type="spellEnd"/>
      <w:r w:rsidRPr="00B9656D">
        <w:rPr>
          <w:lang w:val="fr-FR"/>
        </w:rPr>
        <w:t xml:space="preserve"> </w:t>
      </w:r>
      <w:r w:rsidR="00862C92" w:rsidRPr="00B9656D">
        <w:rPr>
          <w:lang w:val="fr-FR"/>
        </w:rPr>
        <w:t xml:space="preserve">data de 26 </w:t>
      </w:r>
      <w:proofErr w:type="spellStart"/>
      <w:r w:rsidR="003D6AE6" w:rsidRPr="00B9656D">
        <w:rPr>
          <w:lang w:val="fr-FR"/>
        </w:rPr>
        <w:t>noiembrie</w:t>
      </w:r>
      <w:proofErr w:type="spellEnd"/>
      <w:r w:rsidR="00862C92" w:rsidRPr="00B9656D">
        <w:rPr>
          <w:lang w:val="fr-FR"/>
        </w:rPr>
        <w:t xml:space="preserve"> 201</w:t>
      </w:r>
      <w:r w:rsidR="004324B3" w:rsidRPr="00B9656D">
        <w:rPr>
          <w:lang w:val="fr-FR"/>
        </w:rPr>
        <w:t>5</w:t>
      </w:r>
      <w:r w:rsidR="00862C92" w:rsidRPr="00B9656D">
        <w:rPr>
          <w:lang w:val="fr-FR"/>
        </w:rPr>
        <w:t xml:space="preserve">, a </w:t>
      </w:r>
      <w:proofErr w:type="spellStart"/>
      <w:r w:rsidR="00862C92" w:rsidRPr="00B9656D">
        <w:rPr>
          <w:lang w:val="fr-FR"/>
        </w:rPr>
        <w:t>avut</w:t>
      </w:r>
      <w:proofErr w:type="spellEnd"/>
      <w:r w:rsidR="00862C92" w:rsidRPr="00B9656D">
        <w:rPr>
          <w:lang w:val="fr-FR"/>
        </w:rPr>
        <w:t xml:space="preserve"> </w:t>
      </w:r>
      <w:proofErr w:type="spellStart"/>
      <w:r w:rsidR="00862C92" w:rsidRPr="00B9656D">
        <w:rPr>
          <w:lang w:val="fr-FR"/>
        </w:rPr>
        <w:t>loc</w:t>
      </w:r>
      <w:proofErr w:type="spellEnd"/>
      <w:r w:rsidR="00862C92" w:rsidRPr="00B9656D">
        <w:rPr>
          <w:lang w:val="fr-FR"/>
        </w:rPr>
        <w:t xml:space="preserve"> </w:t>
      </w:r>
      <w:proofErr w:type="spellStart"/>
      <w:r w:rsidR="00862C92" w:rsidRPr="00B9656D">
        <w:rPr>
          <w:lang w:val="fr-FR"/>
        </w:rPr>
        <w:t>şedinţa</w:t>
      </w:r>
      <w:proofErr w:type="spellEnd"/>
      <w:r w:rsidR="00862C92" w:rsidRPr="00B9656D">
        <w:rPr>
          <w:lang w:val="fr-FR"/>
        </w:rPr>
        <w:t xml:space="preserve"> </w:t>
      </w:r>
      <w:proofErr w:type="spellStart"/>
      <w:r w:rsidR="00862C92" w:rsidRPr="00B9656D">
        <w:rPr>
          <w:lang w:val="fr-FR"/>
        </w:rPr>
        <w:t>ordinarǎ</w:t>
      </w:r>
      <w:proofErr w:type="spellEnd"/>
      <w:r w:rsidR="00862C92" w:rsidRPr="00B9656D">
        <w:rPr>
          <w:lang w:val="fr-FR"/>
        </w:rPr>
        <w:t xml:space="preserve"> </w:t>
      </w:r>
      <w:proofErr w:type="gramStart"/>
      <w:r w:rsidR="00862C92" w:rsidRPr="00B9656D">
        <w:rPr>
          <w:lang w:val="fr-FR"/>
        </w:rPr>
        <w:t>a</w:t>
      </w:r>
      <w:proofErr w:type="gramEnd"/>
      <w:r w:rsidR="00862C92" w:rsidRPr="00B9656D">
        <w:rPr>
          <w:lang w:val="fr-FR"/>
        </w:rPr>
        <w:t xml:space="preserve"> </w:t>
      </w:r>
      <w:proofErr w:type="spellStart"/>
      <w:r w:rsidR="00862C92" w:rsidRPr="00B9656D">
        <w:rPr>
          <w:lang w:val="fr-FR"/>
        </w:rPr>
        <w:t>Comitetului</w:t>
      </w:r>
      <w:proofErr w:type="spellEnd"/>
      <w:r w:rsidR="00862C92" w:rsidRPr="00B9656D">
        <w:rPr>
          <w:lang w:val="fr-FR"/>
        </w:rPr>
        <w:t xml:space="preserve"> </w:t>
      </w:r>
      <w:proofErr w:type="spellStart"/>
      <w:r w:rsidR="00862C92" w:rsidRPr="00B9656D">
        <w:rPr>
          <w:lang w:val="fr-FR"/>
        </w:rPr>
        <w:t>Naţional</w:t>
      </w:r>
      <w:proofErr w:type="spellEnd"/>
      <w:r w:rsidR="00862C92" w:rsidRPr="00B9656D">
        <w:rPr>
          <w:lang w:val="fr-FR"/>
        </w:rPr>
        <w:t xml:space="preserve"> </w:t>
      </w:r>
      <w:proofErr w:type="spellStart"/>
      <w:r w:rsidR="00862C92" w:rsidRPr="00B9656D">
        <w:rPr>
          <w:lang w:val="fr-FR"/>
        </w:rPr>
        <w:t>pentru</w:t>
      </w:r>
      <w:proofErr w:type="spellEnd"/>
      <w:r w:rsidR="00862C92" w:rsidRPr="00B9656D">
        <w:rPr>
          <w:lang w:val="fr-FR"/>
        </w:rPr>
        <w:t xml:space="preserve"> </w:t>
      </w:r>
      <w:proofErr w:type="spellStart"/>
      <w:r w:rsidR="00862C92" w:rsidRPr="00B9656D">
        <w:rPr>
          <w:lang w:val="fr-FR"/>
        </w:rPr>
        <w:t>Stabilitate</w:t>
      </w:r>
      <w:proofErr w:type="spellEnd"/>
      <w:r w:rsidR="00862C92" w:rsidRPr="00B9656D">
        <w:rPr>
          <w:lang w:val="fr-FR"/>
        </w:rPr>
        <w:t xml:space="preserve"> </w:t>
      </w:r>
      <w:proofErr w:type="spellStart"/>
      <w:r w:rsidR="00862C92" w:rsidRPr="00B9656D">
        <w:rPr>
          <w:lang w:val="fr-FR"/>
        </w:rPr>
        <w:t>Financiarǎ</w:t>
      </w:r>
      <w:proofErr w:type="spellEnd"/>
      <w:r w:rsidR="00862C92" w:rsidRPr="00B9656D">
        <w:rPr>
          <w:lang w:val="fr-FR"/>
        </w:rPr>
        <w:t xml:space="preserve"> (CNSF). </w:t>
      </w:r>
    </w:p>
    <w:p w:rsidR="00862C92" w:rsidRPr="00B9656D" w:rsidRDefault="00862C92" w:rsidP="008E4525">
      <w:pPr>
        <w:pStyle w:val="NormalWeb"/>
        <w:jc w:val="both"/>
        <w:rPr>
          <w:lang w:val="fr-FR"/>
        </w:rPr>
      </w:pPr>
      <w:proofErr w:type="gramStart"/>
      <w:r w:rsidRPr="00B9656D">
        <w:rPr>
          <w:lang w:val="fr-FR"/>
        </w:rPr>
        <w:t xml:space="preserve">La </w:t>
      </w:r>
      <w:proofErr w:type="spellStart"/>
      <w:r w:rsidRPr="00B9656D">
        <w:rPr>
          <w:lang w:val="fr-FR"/>
        </w:rPr>
        <w:t>întâlnire</w:t>
      </w:r>
      <w:proofErr w:type="spellEnd"/>
      <w:proofErr w:type="gramEnd"/>
      <w:r w:rsidRPr="00B9656D">
        <w:rPr>
          <w:lang w:val="fr-FR"/>
        </w:rPr>
        <w:t xml:space="preserve"> au </w:t>
      </w:r>
      <w:proofErr w:type="spellStart"/>
      <w:r w:rsidRPr="00B9656D">
        <w:rPr>
          <w:lang w:val="fr-FR"/>
        </w:rPr>
        <w:t>participat</w:t>
      </w:r>
      <w:proofErr w:type="spellEnd"/>
      <w:r w:rsidRPr="00B9656D">
        <w:rPr>
          <w:lang w:val="fr-FR"/>
        </w:rPr>
        <w:t xml:space="preserve"> dl. Mugur </w:t>
      </w:r>
      <w:proofErr w:type="spellStart"/>
      <w:r w:rsidRPr="00B9656D">
        <w:rPr>
          <w:lang w:val="fr-FR"/>
        </w:rPr>
        <w:t>Isărescu</w:t>
      </w:r>
      <w:proofErr w:type="spellEnd"/>
      <w:r w:rsidRPr="00B9656D">
        <w:rPr>
          <w:lang w:val="fr-FR"/>
        </w:rPr>
        <w:t xml:space="preserve">, </w:t>
      </w:r>
      <w:proofErr w:type="spellStart"/>
      <w:r w:rsidRPr="00B9656D">
        <w:rPr>
          <w:lang w:val="fr-FR"/>
        </w:rPr>
        <w:t>Guvernatorul</w:t>
      </w:r>
      <w:proofErr w:type="spellEnd"/>
      <w:r w:rsidRPr="00B9656D">
        <w:rPr>
          <w:lang w:val="fr-FR"/>
        </w:rPr>
        <w:t xml:space="preserve"> BNR </w:t>
      </w:r>
      <w:proofErr w:type="spellStart"/>
      <w:r w:rsidRPr="00B9656D">
        <w:rPr>
          <w:lang w:val="fr-FR"/>
        </w:rPr>
        <w:t>şi</w:t>
      </w:r>
      <w:proofErr w:type="spellEnd"/>
      <w:r w:rsidRPr="00B9656D">
        <w:rPr>
          <w:lang w:val="fr-FR"/>
        </w:rPr>
        <w:t xml:space="preserve"> </w:t>
      </w:r>
      <w:proofErr w:type="spellStart"/>
      <w:r w:rsidRPr="00B9656D">
        <w:rPr>
          <w:lang w:val="fr-FR"/>
        </w:rPr>
        <w:t>Preşedinte</w:t>
      </w:r>
      <w:proofErr w:type="spellEnd"/>
      <w:r w:rsidRPr="00B9656D">
        <w:rPr>
          <w:lang w:val="fr-FR"/>
        </w:rPr>
        <w:t xml:space="preserve"> al CNSF, </w:t>
      </w:r>
      <w:proofErr w:type="spellStart"/>
      <w:r w:rsidRPr="00B9656D">
        <w:rPr>
          <w:lang w:val="fr-FR"/>
        </w:rPr>
        <w:t>dna</w:t>
      </w:r>
      <w:proofErr w:type="spellEnd"/>
      <w:r w:rsidRPr="00B9656D">
        <w:rPr>
          <w:lang w:val="fr-FR"/>
        </w:rPr>
        <w:t xml:space="preserve">. Anca </w:t>
      </w:r>
      <w:r w:rsidR="00253C33" w:rsidRPr="00B9656D">
        <w:rPr>
          <w:lang w:val="fr-FR"/>
        </w:rPr>
        <w:t xml:space="preserve">Dana </w:t>
      </w:r>
      <w:proofErr w:type="spellStart"/>
      <w:r w:rsidR="00253C33" w:rsidRPr="00B9656D">
        <w:rPr>
          <w:lang w:val="fr-FR"/>
        </w:rPr>
        <w:t>Dragu</w:t>
      </w:r>
      <w:proofErr w:type="spellEnd"/>
      <w:r w:rsidRPr="00B9656D">
        <w:rPr>
          <w:lang w:val="fr-FR"/>
        </w:rPr>
        <w:t xml:space="preserve">, </w:t>
      </w:r>
      <w:proofErr w:type="spellStart"/>
      <w:r w:rsidRPr="00B9656D">
        <w:rPr>
          <w:lang w:val="fr-FR"/>
        </w:rPr>
        <w:t>Ministrul</w:t>
      </w:r>
      <w:proofErr w:type="spellEnd"/>
      <w:r w:rsidRPr="00B9656D">
        <w:rPr>
          <w:lang w:val="fr-FR"/>
        </w:rPr>
        <w:t xml:space="preserve"> </w:t>
      </w:r>
      <w:proofErr w:type="spellStart"/>
      <w:r w:rsidRPr="00B9656D">
        <w:rPr>
          <w:lang w:val="fr-FR"/>
        </w:rPr>
        <w:t>Finanţelor</w:t>
      </w:r>
      <w:proofErr w:type="spellEnd"/>
      <w:r w:rsidRPr="00B9656D">
        <w:rPr>
          <w:lang w:val="fr-FR"/>
        </w:rPr>
        <w:t xml:space="preserve"> </w:t>
      </w:r>
      <w:proofErr w:type="spellStart"/>
      <w:r w:rsidRPr="00B9656D">
        <w:rPr>
          <w:lang w:val="fr-FR"/>
        </w:rPr>
        <w:t>Publice</w:t>
      </w:r>
      <w:proofErr w:type="spellEnd"/>
      <w:r w:rsidRPr="00B9656D">
        <w:rPr>
          <w:lang w:val="fr-FR"/>
        </w:rPr>
        <w:t>, dl. Mi</w:t>
      </w:r>
      <w:r w:rsidRPr="00A9106A">
        <w:rPr>
          <w:lang w:val="ro-RO"/>
        </w:rPr>
        <w:t>șu Negrițoiu</w:t>
      </w:r>
      <w:r w:rsidRPr="00B9656D">
        <w:rPr>
          <w:lang w:val="fr-FR"/>
        </w:rPr>
        <w:t xml:space="preserve">, </w:t>
      </w:r>
      <w:proofErr w:type="spellStart"/>
      <w:r w:rsidRPr="00B9656D">
        <w:rPr>
          <w:lang w:val="fr-FR"/>
        </w:rPr>
        <w:t>Preşedinte</w:t>
      </w:r>
      <w:proofErr w:type="spellEnd"/>
      <w:r w:rsidRPr="00B9656D">
        <w:rPr>
          <w:lang w:val="fr-FR"/>
        </w:rPr>
        <w:t xml:space="preserve"> al </w:t>
      </w:r>
      <w:proofErr w:type="spellStart"/>
      <w:r w:rsidRPr="00B9656D">
        <w:rPr>
          <w:lang w:val="fr-FR"/>
        </w:rPr>
        <w:t>Autorităţii</w:t>
      </w:r>
      <w:proofErr w:type="spellEnd"/>
      <w:r w:rsidRPr="00B9656D">
        <w:rPr>
          <w:lang w:val="fr-FR"/>
        </w:rPr>
        <w:t xml:space="preserve"> de </w:t>
      </w:r>
      <w:proofErr w:type="spellStart"/>
      <w:r w:rsidRPr="00B9656D">
        <w:rPr>
          <w:lang w:val="fr-FR"/>
        </w:rPr>
        <w:t>Supraveghere</w:t>
      </w:r>
      <w:proofErr w:type="spellEnd"/>
      <w:r w:rsidRPr="00B9656D">
        <w:rPr>
          <w:lang w:val="fr-FR"/>
        </w:rPr>
        <w:t xml:space="preserve"> </w:t>
      </w:r>
      <w:proofErr w:type="spellStart"/>
      <w:r w:rsidRPr="00B9656D">
        <w:rPr>
          <w:lang w:val="fr-FR"/>
        </w:rPr>
        <w:t>Financiară</w:t>
      </w:r>
      <w:proofErr w:type="spellEnd"/>
      <w:r w:rsidRPr="00B9656D">
        <w:rPr>
          <w:lang w:val="fr-FR"/>
        </w:rPr>
        <w:t xml:space="preserve"> </w:t>
      </w:r>
      <w:proofErr w:type="spellStart"/>
      <w:r w:rsidRPr="00B9656D">
        <w:rPr>
          <w:lang w:val="fr-FR"/>
        </w:rPr>
        <w:t>şi</w:t>
      </w:r>
      <w:proofErr w:type="spellEnd"/>
      <w:r w:rsidRPr="00B9656D">
        <w:rPr>
          <w:lang w:val="fr-FR"/>
        </w:rPr>
        <w:t xml:space="preserve"> dl. Eugen </w:t>
      </w:r>
      <w:proofErr w:type="spellStart"/>
      <w:r w:rsidRPr="00B9656D">
        <w:rPr>
          <w:lang w:val="fr-FR"/>
        </w:rPr>
        <w:t>Dijmărescu</w:t>
      </w:r>
      <w:proofErr w:type="spellEnd"/>
      <w:r w:rsidRPr="00B9656D">
        <w:rPr>
          <w:lang w:val="fr-FR"/>
        </w:rPr>
        <w:t xml:space="preserve">, </w:t>
      </w:r>
      <w:proofErr w:type="spellStart"/>
      <w:r w:rsidRPr="00B9656D">
        <w:rPr>
          <w:lang w:val="fr-FR"/>
        </w:rPr>
        <w:t>Director</w:t>
      </w:r>
      <w:proofErr w:type="spellEnd"/>
      <w:r w:rsidRPr="00B9656D">
        <w:rPr>
          <w:lang w:val="fr-FR"/>
        </w:rPr>
        <w:t xml:space="preserve"> al </w:t>
      </w:r>
      <w:proofErr w:type="spellStart"/>
      <w:r w:rsidRPr="00B9656D">
        <w:rPr>
          <w:lang w:val="fr-FR"/>
        </w:rPr>
        <w:t>Fondului</w:t>
      </w:r>
      <w:proofErr w:type="spellEnd"/>
      <w:r w:rsidRPr="00B9656D">
        <w:rPr>
          <w:lang w:val="fr-FR"/>
        </w:rPr>
        <w:t xml:space="preserve"> de </w:t>
      </w:r>
      <w:proofErr w:type="spellStart"/>
      <w:r w:rsidRPr="00B9656D">
        <w:rPr>
          <w:lang w:val="fr-FR"/>
        </w:rPr>
        <w:t>Garantare</w:t>
      </w:r>
      <w:proofErr w:type="spellEnd"/>
      <w:r w:rsidRPr="00B9656D">
        <w:rPr>
          <w:lang w:val="fr-FR"/>
        </w:rPr>
        <w:t xml:space="preserve"> a </w:t>
      </w:r>
      <w:proofErr w:type="spellStart"/>
      <w:r w:rsidRPr="00B9656D">
        <w:rPr>
          <w:lang w:val="fr-FR"/>
        </w:rPr>
        <w:t>Depozitelor</w:t>
      </w:r>
      <w:proofErr w:type="spellEnd"/>
      <w:r w:rsidRPr="00B9656D">
        <w:rPr>
          <w:lang w:val="fr-FR"/>
        </w:rPr>
        <w:t xml:space="preserve"> </w:t>
      </w:r>
      <w:proofErr w:type="spellStart"/>
      <w:r w:rsidRPr="00B9656D">
        <w:rPr>
          <w:lang w:val="fr-FR"/>
        </w:rPr>
        <w:t>în</w:t>
      </w:r>
      <w:proofErr w:type="spellEnd"/>
      <w:r w:rsidRPr="00B9656D">
        <w:rPr>
          <w:lang w:val="fr-FR"/>
        </w:rPr>
        <w:t xml:space="preserve"> </w:t>
      </w:r>
      <w:proofErr w:type="spellStart"/>
      <w:r w:rsidRPr="00B9656D">
        <w:rPr>
          <w:lang w:val="fr-FR"/>
        </w:rPr>
        <w:t>Sistemul</w:t>
      </w:r>
      <w:proofErr w:type="spellEnd"/>
      <w:r w:rsidRPr="00B9656D">
        <w:rPr>
          <w:lang w:val="fr-FR"/>
        </w:rPr>
        <w:t xml:space="preserve"> </w:t>
      </w:r>
      <w:proofErr w:type="spellStart"/>
      <w:r w:rsidRPr="00B9656D">
        <w:rPr>
          <w:lang w:val="fr-FR"/>
        </w:rPr>
        <w:t>Bancar</w:t>
      </w:r>
      <w:proofErr w:type="spellEnd"/>
      <w:r w:rsidRPr="00B9656D">
        <w:rPr>
          <w:lang w:val="fr-FR"/>
        </w:rPr>
        <w:t xml:space="preserve">. </w:t>
      </w:r>
    </w:p>
    <w:p w:rsidR="007D65CE" w:rsidRPr="00B9656D" w:rsidRDefault="004324B3" w:rsidP="008E4525">
      <w:pPr>
        <w:pStyle w:val="NormalWeb"/>
        <w:jc w:val="both"/>
        <w:rPr>
          <w:lang w:val="fr-FR"/>
        </w:rPr>
      </w:pPr>
      <w:proofErr w:type="spellStart"/>
      <w:r w:rsidRPr="00B9656D">
        <w:rPr>
          <w:lang w:val="fr-FR"/>
        </w:rPr>
        <w:t>Potrivit</w:t>
      </w:r>
      <w:proofErr w:type="spellEnd"/>
      <w:r w:rsidRPr="00B9656D">
        <w:rPr>
          <w:lang w:val="fr-FR"/>
        </w:rPr>
        <w:t xml:space="preserve"> </w:t>
      </w:r>
      <w:proofErr w:type="spellStart"/>
      <w:r w:rsidR="008E4525" w:rsidRPr="00B9656D">
        <w:rPr>
          <w:lang w:val="fr-FR"/>
        </w:rPr>
        <w:t>atribuțiilor</w:t>
      </w:r>
      <w:proofErr w:type="spellEnd"/>
      <w:r w:rsidR="007D65CE" w:rsidRPr="00B9656D">
        <w:rPr>
          <w:lang w:val="fr-FR"/>
        </w:rPr>
        <w:t xml:space="preserve"> de a adopta </w:t>
      </w:r>
      <w:proofErr w:type="spellStart"/>
      <w:r w:rsidR="007D65CE" w:rsidRPr="00B9656D">
        <w:rPr>
          <w:lang w:val="fr-FR"/>
        </w:rPr>
        <w:t>recomandări</w:t>
      </w:r>
      <w:proofErr w:type="spellEnd"/>
      <w:r w:rsidR="007D65CE" w:rsidRPr="00B9656D">
        <w:rPr>
          <w:lang w:val="fr-FR"/>
        </w:rPr>
        <w:t xml:space="preserve"> </w:t>
      </w:r>
      <w:proofErr w:type="spellStart"/>
      <w:r w:rsidR="007D65CE" w:rsidRPr="00B9656D">
        <w:rPr>
          <w:lang w:val="fr-FR"/>
        </w:rPr>
        <w:t>și</w:t>
      </w:r>
      <w:proofErr w:type="spellEnd"/>
      <w:r w:rsidR="007D65CE" w:rsidRPr="00B9656D">
        <w:rPr>
          <w:lang w:val="fr-FR"/>
        </w:rPr>
        <w:t>,</w:t>
      </w:r>
      <w:r w:rsidR="003E535B" w:rsidRPr="00B9656D">
        <w:rPr>
          <w:lang w:val="fr-FR"/>
        </w:rPr>
        <w:t xml:space="preserve"> </w:t>
      </w:r>
      <w:proofErr w:type="spellStart"/>
      <w:r w:rsidR="003E535B" w:rsidRPr="00B9656D">
        <w:rPr>
          <w:lang w:val="fr-FR"/>
        </w:rPr>
        <w:t>respectiv</w:t>
      </w:r>
      <w:proofErr w:type="spellEnd"/>
      <w:r w:rsidR="003E535B" w:rsidRPr="00B9656D">
        <w:rPr>
          <w:lang w:val="fr-FR"/>
        </w:rPr>
        <w:t xml:space="preserve">, </w:t>
      </w:r>
      <w:proofErr w:type="spellStart"/>
      <w:r w:rsidR="003E535B" w:rsidRPr="00B9656D">
        <w:rPr>
          <w:lang w:val="fr-FR"/>
        </w:rPr>
        <w:t>opinii</w:t>
      </w:r>
      <w:proofErr w:type="spellEnd"/>
      <w:r w:rsidR="003E535B" w:rsidRPr="00B9656D">
        <w:rPr>
          <w:lang w:val="fr-FR"/>
        </w:rPr>
        <w:t xml:space="preserve"> consultative, </w:t>
      </w:r>
      <w:proofErr w:type="spellStart"/>
      <w:r w:rsidR="003E535B" w:rsidRPr="00B9656D">
        <w:rPr>
          <w:lang w:val="fr-FR"/>
        </w:rPr>
        <w:t>pe</w:t>
      </w:r>
      <w:proofErr w:type="spellEnd"/>
      <w:r w:rsidR="003E535B" w:rsidRPr="00B9656D">
        <w:rPr>
          <w:lang w:val="fr-FR"/>
        </w:rPr>
        <w:t xml:space="preserve"> </w:t>
      </w:r>
      <w:proofErr w:type="spellStart"/>
      <w:r w:rsidR="003E535B" w:rsidRPr="00B9656D">
        <w:rPr>
          <w:lang w:val="fr-FR"/>
        </w:rPr>
        <w:t>perioada</w:t>
      </w:r>
      <w:proofErr w:type="spellEnd"/>
      <w:r w:rsidR="003E535B" w:rsidRPr="00B9656D">
        <w:rPr>
          <w:lang w:val="fr-FR"/>
        </w:rPr>
        <w:t xml:space="preserve"> </w:t>
      </w:r>
      <w:proofErr w:type="spellStart"/>
      <w:r w:rsidR="003E535B" w:rsidRPr="00B9656D">
        <w:rPr>
          <w:lang w:val="fr-FR"/>
        </w:rPr>
        <w:t>tranzitorie</w:t>
      </w:r>
      <w:proofErr w:type="spellEnd"/>
      <w:r w:rsidR="003E535B" w:rsidRPr="00B9656D">
        <w:rPr>
          <w:lang w:val="fr-FR"/>
        </w:rPr>
        <w:t xml:space="preserve"> </w:t>
      </w:r>
      <w:proofErr w:type="spellStart"/>
      <w:r w:rsidR="003E535B" w:rsidRPr="00B9656D">
        <w:rPr>
          <w:lang w:val="fr-FR"/>
        </w:rPr>
        <w:t>până</w:t>
      </w:r>
      <w:proofErr w:type="spellEnd"/>
      <w:r w:rsidR="003E535B" w:rsidRPr="00B9656D">
        <w:rPr>
          <w:lang w:val="fr-FR"/>
        </w:rPr>
        <w:t xml:space="preserve"> la </w:t>
      </w:r>
      <w:proofErr w:type="spellStart"/>
      <w:r w:rsidR="003E535B" w:rsidRPr="00B9656D">
        <w:rPr>
          <w:lang w:val="fr-FR"/>
        </w:rPr>
        <w:t>operaţionalizarea</w:t>
      </w:r>
      <w:proofErr w:type="spellEnd"/>
      <w:r w:rsidR="003E535B" w:rsidRPr="00B9656D">
        <w:rPr>
          <w:lang w:val="fr-FR"/>
        </w:rPr>
        <w:t xml:space="preserve"> </w:t>
      </w:r>
      <w:proofErr w:type="spellStart"/>
      <w:r w:rsidR="003E535B" w:rsidRPr="00B9656D">
        <w:rPr>
          <w:lang w:val="fr-FR"/>
        </w:rPr>
        <w:t>structurii</w:t>
      </w:r>
      <w:proofErr w:type="spellEnd"/>
      <w:r w:rsidR="003E535B" w:rsidRPr="00B9656D">
        <w:rPr>
          <w:lang w:val="fr-FR"/>
        </w:rPr>
        <w:t xml:space="preserve"> inter-</w:t>
      </w:r>
      <w:proofErr w:type="spellStart"/>
      <w:r w:rsidR="003E535B" w:rsidRPr="00B9656D">
        <w:rPr>
          <w:lang w:val="fr-FR"/>
        </w:rPr>
        <w:t>instituţionale</w:t>
      </w:r>
      <w:proofErr w:type="spellEnd"/>
      <w:r w:rsidR="003E535B" w:rsidRPr="00B9656D">
        <w:rPr>
          <w:lang w:val="fr-FR"/>
        </w:rPr>
        <w:t xml:space="preserve"> de </w:t>
      </w:r>
      <w:proofErr w:type="spellStart"/>
      <w:r w:rsidR="003E535B" w:rsidRPr="00B9656D">
        <w:rPr>
          <w:lang w:val="fr-FR"/>
        </w:rPr>
        <w:t>coordonare</w:t>
      </w:r>
      <w:proofErr w:type="spellEnd"/>
      <w:r w:rsidR="003E535B" w:rsidRPr="00B9656D">
        <w:rPr>
          <w:lang w:val="fr-FR"/>
        </w:rPr>
        <w:t xml:space="preserve"> </w:t>
      </w:r>
      <w:proofErr w:type="spellStart"/>
      <w:r w:rsidR="003E535B" w:rsidRPr="00B9656D">
        <w:rPr>
          <w:lang w:val="fr-FR"/>
        </w:rPr>
        <w:t>în</w:t>
      </w:r>
      <w:proofErr w:type="spellEnd"/>
      <w:r w:rsidR="003E535B" w:rsidRPr="00B9656D">
        <w:rPr>
          <w:lang w:val="fr-FR"/>
        </w:rPr>
        <w:t xml:space="preserve"> </w:t>
      </w:r>
      <w:proofErr w:type="spellStart"/>
      <w:r w:rsidR="003E535B" w:rsidRPr="00B9656D">
        <w:rPr>
          <w:lang w:val="fr-FR"/>
        </w:rPr>
        <w:t>domeniul</w:t>
      </w:r>
      <w:proofErr w:type="spellEnd"/>
      <w:r w:rsidR="003E535B" w:rsidRPr="00B9656D">
        <w:rPr>
          <w:lang w:val="fr-FR"/>
        </w:rPr>
        <w:t xml:space="preserve"> </w:t>
      </w:r>
      <w:proofErr w:type="spellStart"/>
      <w:r w:rsidR="003E535B" w:rsidRPr="00B9656D">
        <w:rPr>
          <w:lang w:val="fr-FR"/>
        </w:rPr>
        <w:t>supravegherii</w:t>
      </w:r>
      <w:proofErr w:type="spellEnd"/>
      <w:r w:rsidR="003E535B" w:rsidRPr="00B9656D">
        <w:rPr>
          <w:lang w:val="fr-FR"/>
        </w:rPr>
        <w:t xml:space="preserve"> </w:t>
      </w:r>
      <w:proofErr w:type="spellStart"/>
      <w:r w:rsidR="003E535B" w:rsidRPr="00B9656D">
        <w:rPr>
          <w:lang w:val="fr-FR"/>
        </w:rPr>
        <w:t>macroprudenţiale</w:t>
      </w:r>
      <w:proofErr w:type="spellEnd"/>
      <w:r w:rsidR="003E535B" w:rsidRPr="00B9656D">
        <w:rPr>
          <w:lang w:val="fr-FR"/>
        </w:rPr>
        <w:t xml:space="preserve"> a </w:t>
      </w:r>
      <w:proofErr w:type="spellStart"/>
      <w:r w:rsidR="003E535B" w:rsidRPr="00B9656D">
        <w:rPr>
          <w:lang w:val="fr-FR"/>
        </w:rPr>
        <w:t>sistemului</w:t>
      </w:r>
      <w:proofErr w:type="spellEnd"/>
      <w:r w:rsidR="003E535B" w:rsidRPr="00B9656D">
        <w:rPr>
          <w:lang w:val="fr-FR"/>
        </w:rPr>
        <w:t xml:space="preserve"> </w:t>
      </w:r>
      <w:proofErr w:type="spellStart"/>
      <w:r w:rsidR="003E535B" w:rsidRPr="00B9656D">
        <w:rPr>
          <w:lang w:val="fr-FR"/>
        </w:rPr>
        <w:t>financiar</w:t>
      </w:r>
      <w:proofErr w:type="spellEnd"/>
      <w:r w:rsidR="003E535B" w:rsidRPr="00B9656D">
        <w:rPr>
          <w:lang w:val="fr-FR"/>
        </w:rPr>
        <w:t xml:space="preserve"> </w:t>
      </w:r>
      <w:proofErr w:type="spellStart"/>
      <w:r w:rsidR="003E535B" w:rsidRPr="00B9656D">
        <w:rPr>
          <w:lang w:val="fr-FR"/>
        </w:rPr>
        <w:t>naţional</w:t>
      </w:r>
      <w:proofErr w:type="spellEnd"/>
      <w:r w:rsidR="003E535B" w:rsidRPr="00B9656D">
        <w:rPr>
          <w:lang w:val="fr-FR"/>
        </w:rPr>
        <w:t xml:space="preserve"> (</w:t>
      </w:r>
      <w:r w:rsidR="007D65CE" w:rsidRPr="00B9656D">
        <w:rPr>
          <w:lang w:val="fr-FR"/>
        </w:rPr>
        <w:t>art.126</w:t>
      </w:r>
      <w:r w:rsidR="007D65CE" w:rsidRPr="00B9656D">
        <w:rPr>
          <w:vertAlign w:val="superscript"/>
          <w:lang w:val="fr-FR"/>
        </w:rPr>
        <w:t>1</w:t>
      </w:r>
      <w:r w:rsidR="007D65CE" w:rsidRPr="00B9656D">
        <w:rPr>
          <w:lang w:val="fr-FR"/>
        </w:rPr>
        <w:t xml:space="preserve"> </w:t>
      </w:r>
      <w:proofErr w:type="spellStart"/>
      <w:r w:rsidR="007D65CE" w:rsidRPr="00B9656D">
        <w:rPr>
          <w:lang w:val="fr-FR"/>
        </w:rPr>
        <w:t>din</w:t>
      </w:r>
      <w:proofErr w:type="spellEnd"/>
      <w:r w:rsidR="007D65CE" w:rsidRPr="00B9656D">
        <w:rPr>
          <w:lang w:val="fr-FR"/>
        </w:rPr>
        <w:t xml:space="preserve"> </w:t>
      </w:r>
      <w:proofErr w:type="spellStart"/>
      <w:r w:rsidR="008E4525" w:rsidRPr="00B9656D">
        <w:rPr>
          <w:i/>
          <w:iCs/>
          <w:lang w:val="fr-FR"/>
        </w:rPr>
        <w:t>Ordonanţ</w:t>
      </w:r>
      <w:r w:rsidR="00D50185" w:rsidRPr="00B9656D">
        <w:rPr>
          <w:i/>
          <w:iCs/>
          <w:lang w:val="fr-FR"/>
        </w:rPr>
        <w:t>a</w:t>
      </w:r>
      <w:proofErr w:type="spellEnd"/>
      <w:r w:rsidR="008E4525" w:rsidRPr="00B9656D">
        <w:rPr>
          <w:i/>
          <w:iCs/>
          <w:lang w:val="fr-FR"/>
        </w:rPr>
        <w:t xml:space="preserve"> de </w:t>
      </w:r>
      <w:proofErr w:type="spellStart"/>
      <w:r w:rsidR="008E4525" w:rsidRPr="00B9656D">
        <w:rPr>
          <w:i/>
          <w:iCs/>
          <w:lang w:val="fr-FR"/>
        </w:rPr>
        <w:t>urgenţă</w:t>
      </w:r>
      <w:proofErr w:type="spellEnd"/>
      <w:r w:rsidR="008E4525" w:rsidRPr="00B9656D">
        <w:rPr>
          <w:i/>
          <w:iCs/>
          <w:lang w:val="fr-FR"/>
        </w:rPr>
        <w:t xml:space="preserve"> a </w:t>
      </w:r>
      <w:proofErr w:type="spellStart"/>
      <w:r w:rsidR="008E4525" w:rsidRPr="00B9656D">
        <w:rPr>
          <w:i/>
          <w:iCs/>
          <w:lang w:val="fr-FR"/>
        </w:rPr>
        <w:t>Guvernului</w:t>
      </w:r>
      <w:proofErr w:type="spellEnd"/>
      <w:r w:rsidR="008E4525" w:rsidRPr="00B9656D">
        <w:rPr>
          <w:i/>
          <w:iCs/>
          <w:lang w:val="fr-FR"/>
        </w:rPr>
        <w:t xml:space="preserve"> nr. 99/2006 </w:t>
      </w:r>
      <w:proofErr w:type="spellStart"/>
      <w:r w:rsidR="008E4525" w:rsidRPr="00B9656D">
        <w:rPr>
          <w:i/>
          <w:iCs/>
          <w:lang w:val="fr-FR"/>
        </w:rPr>
        <w:t>privind</w:t>
      </w:r>
      <w:proofErr w:type="spellEnd"/>
      <w:r w:rsidR="008E4525" w:rsidRPr="00B9656D">
        <w:rPr>
          <w:i/>
          <w:iCs/>
          <w:lang w:val="fr-FR"/>
        </w:rPr>
        <w:t xml:space="preserve"> </w:t>
      </w:r>
      <w:proofErr w:type="spellStart"/>
      <w:r w:rsidR="008E4525" w:rsidRPr="00B9656D">
        <w:rPr>
          <w:i/>
          <w:iCs/>
          <w:lang w:val="fr-FR"/>
        </w:rPr>
        <w:t>instituţiile</w:t>
      </w:r>
      <w:proofErr w:type="spellEnd"/>
      <w:r w:rsidR="008E4525" w:rsidRPr="00B9656D">
        <w:rPr>
          <w:i/>
          <w:iCs/>
          <w:lang w:val="fr-FR"/>
        </w:rPr>
        <w:t xml:space="preserve"> de </w:t>
      </w:r>
      <w:proofErr w:type="spellStart"/>
      <w:r w:rsidR="008E4525" w:rsidRPr="00B9656D">
        <w:rPr>
          <w:i/>
          <w:iCs/>
          <w:lang w:val="fr-FR"/>
        </w:rPr>
        <w:t>credit</w:t>
      </w:r>
      <w:proofErr w:type="spellEnd"/>
      <w:r w:rsidR="008E4525" w:rsidRPr="00B9656D">
        <w:rPr>
          <w:i/>
          <w:iCs/>
          <w:lang w:val="fr-FR"/>
        </w:rPr>
        <w:t xml:space="preserve"> </w:t>
      </w:r>
      <w:proofErr w:type="spellStart"/>
      <w:r w:rsidR="008E4525" w:rsidRPr="00B9656D">
        <w:rPr>
          <w:i/>
          <w:iCs/>
          <w:lang w:val="fr-FR"/>
        </w:rPr>
        <w:t>şi</w:t>
      </w:r>
      <w:proofErr w:type="spellEnd"/>
      <w:r w:rsidR="008E4525" w:rsidRPr="00B9656D">
        <w:rPr>
          <w:i/>
          <w:iCs/>
          <w:lang w:val="fr-FR"/>
        </w:rPr>
        <w:t xml:space="preserve"> </w:t>
      </w:r>
      <w:proofErr w:type="spellStart"/>
      <w:r w:rsidR="008E4525" w:rsidRPr="00B9656D">
        <w:rPr>
          <w:i/>
          <w:iCs/>
          <w:lang w:val="fr-FR"/>
        </w:rPr>
        <w:t>adecvarea</w:t>
      </w:r>
      <w:proofErr w:type="spellEnd"/>
      <w:r w:rsidR="008E4525" w:rsidRPr="00B9656D">
        <w:rPr>
          <w:i/>
          <w:iCs/>
          <w:lang w:val="fr-FR"/>
        </w:rPr>
        <w:t xml:space="preserve"> </w:t>
      </w:r>
      <w:proofErr w:type="spellStart"/>
      <w:r w:rsidR="008E4525" w:rsidRPr="00B9656D">
        <w:rPr>
          <w:i/>
          <w:iCs/>
          <w:lang w:val="fr-FR"/>
        </w:rPr>
        <w:t>capitalului</w:t>
      </w:r>
      <w:proofErr w:type="spellEnd"/>
      <w:r w:rsidR="008E4525" w:rsidRPr="00B9656D">
        <w:rPr>
          <w:i/>
          <w:iCs/>
          <w:lang w:val="fr-FR"/>
        </w:rPr>
        <w:t xml:space="preserve">, </w:t>
      </w:r>
      <w:proofErr w:type="spellStart"/>
      <w:r w:rsidR="008E4525" w:rsidRPr="00B9656D">
        <w:rPr>
          <w:i/>
          <w:iCs/>
          <w:lang w:val="fr-FR"/>
        </w:rPr>
        <w:t>aprobată</w:t>
      </w:r>
      <w:proofErr w:type="spellEnd"/>
      <w:r w:rsidR="008E4525" w:rsidRPr="00B9656D">
        <w:rPr>
          <w:i/>
          <w:iCs/>
          <w:lang w:val="fr-FR"/>
        </w:rPr>
        <w:t xml:space="preserve"> </w:t>
      </w:r>
      <w:proofErr w:type="spellStart"/>
      <w:r w:rsidR="008E4525" w:rsidRPr="00B9656D">
        <w:rPr>
          <w:i/>
          <w:iCs/>
          <w:lang w:val="fr-FR"/>
        </w:rPr>
        <w:t>cu</w:t>
      </w:r>
      <w:proofErr w:type="spellEnd"/>
      <w:r w:rsidR="008E4525" w:rsidRPr="00B9656D">
        <w:rPr>
          <w:i/>
          <w:iCs/>
          <w:lang w:val="fr-FR"/>
        </w:rPr>
        <w:t xml:space="preserve"> </w:t>
      </w:r>
      <w:proofErr w:type="spellStart"/>
      <w:r w:rsidR="008E4525" w:rsidRPr="00B9656D">
        <w:rPr>
          <w:i/>
          <w:iCs/>
          <w:lang w:val="fr-FR"/>
        </w:rPr>
        <w:t>modificări</w:t>
      </w:r>
      <w:proofErr w:type="spellEnd"/>
      <w:r w:rsidR="008E4525" w:rsidRPr="00B9656D">
        <w:rPr>
          <w:i/>
          <w:iCs/>
          <w:lang w:val="fr-FR"/>
        </w:rPr>
        <w:t xml:space="preserve"> </w:t>
      </w:r>
      <w:proofErr w:type="spellStart"/>
      <w:r w:rsidR="008E4525" w:rsidRPr="00B9656D">
        <w:rPr>
          <w:i/>
          <w:iCs/>
          <w:lang w:val="fr-FR"/>
        </w:rPr>
        <w:t>şi</w:t>
      </w:r>
      <w:proofErr w:type="spellEnd"/>
      <w:r w:rsidR="008E4525" w:rsidRPr="00B9656D">
        <w:rPr>
          <w:i/>
          <w:iCs/>
          <w:lang w:val="fr-FR"/>
        </w:rPr>
        <w:t xml:space="preserve"> </w:t>
      </w:r>
      <w:proofErr w:type="spellStart"/>
      <w:r w:rsidR="008E4525" w:rsidRPr="00B9656D">
        <w:rPr>
          <w:i/>
          <w:iCs/>
          <w:lang w:val="fr-FR"/>
        </w:rPr>
        <w:t>completări</w:t>
      </w:r>
      <w:proofErr w:type="spellEnd"/>
      <w:r w:rsidR="008E4525" w:rsidRPr="00B9656D">
        <w:rPr>
          <w:i/>
          <w:iCs/>
          <w:lang w:val="fr-FR"/>
        </w:rPr>
        <w:t xml:space="preserve"> </w:t>
      </w:r>
      <w:proofErr w:type="spellStart"/>
      <w:r w:rsidR="008E4525" w:rsidRPr="00B9656D">
        <w:rPr>
          <w:i/>
          <w:iCs/>
          <w:lang w:val="fr-FR"/>
        </w:rPr>
        <w:t>prin</w:t>
      </w:r>
      <w:proofErr w:type="spellEnd"/>
      <w:r w:rsidR="008E4525" w:rsidRPr="00B9656D">
        <w:rPr>
          <w:i/>
          <w:iCs/>
          <w:lang w:val="fr-FR"/>
        </w:rPr>
        <w:t xml:space="preserve"> </w:t>
      </w:r>
      <w:proofErr w:type="spellStart"/>
      <w:r w:rsidR="008E4525" w:rsidRPr="00B9656D">
        <w:rPr>
          <w:i/>
          <w:iCs/>
          <w:lang w:val="fr-FR"/>
        </w:rPr>
        <w:t>Legea</w:t>
      </w:r>
      <w:proofErr w:type="spellEnd"/>
      <w:r w:rsidR="008E4525" w:rsidRPr="00B9656D">
        <w:rPr>
          <w:i/>
          <w:iCs/>
          <w:lang w:val="fr-FR"/>
        </w:rPr>
        <w:t xml:space="preserve"> nr.227/2007, </w:t>
      </w:r>
      <w:proofErr w:type="spellStart"/>
      <w:r w:rsidR="008E4525" w:rsidRPr="00B9656D">
        <w:rPr>
          <w:i/>
          <w:iCs/>
          <w:lang w:val="fr-FR"/>
        </w:rPr>
        <w:t>cu</w:t>
      </w:r>
      <w:proofErr w:type="spellEnd"/>
      <w:r w:rsidR="008E4525" w:rsidRPr="00B9656D">
        <w:rPr>
          <w:i/>
          <w:iCs/>
          <w:lang w:val="fr-FR"/>
        </w:rPr>
        <w:t xml:space="preserve"> </w:t>
      </w:r>
      <w:proofErr w:type="spellStart"/>
      <w:r w:rsidR="008E4525" w:rsidRPr="00B9656D">
        <w:rPr>
          <w:i/>
          <w:iCs/>
          <w:lang w:val="fr-FR"/>
        </w:rPr>
        <w:t>modificările</w:t>
      </w:r>
      <w:proofErr w:type="spellEnd"/>
      <w:r w:rsidR="008E4525" w:rsidRPr="00B9656D">
        <w:rPr>
          <w:i/>
          <w:iCs/>
          <w:lang w:val="fr-FR"/>
        </w:rPr>
        <w:t xml:space="preserve"> </w:t>
      </w:r>
      <w:proofErr w:type="spellStart"/>
      <w:r w:rsidR="008E4525" w:rsidRPr="00B9656D">
        <w:rPr>
          <w:i/>
          <w:iCs/>
          <w:lang w:val="fr-FR"/>
        </w:rPr>
        <w:t>şi</w:t>
      </w:r>
      <w:proofErr w:type="spellEnd"/>
      <w:r w:rsidR="008E4525" w:rsidRPr="00B9656D">
        <w:rPr>
          <w:i/>
          <w:iCs/>
          <w:lang w:val="fr-FR"/>
        </w:rPr>
        <w:t xml:space="preserve"> </w:t>
      </w:r>
      <w:proofErr w:type="spellStart"/>
      <w:r w:rsidR="008E4525" w:rsidRPr="00B9656D">
        <w:rPr>
          <w:i/>
          <w:iCs/>
          <w:lang w:val="fr-FR"/>
        </w:rPr>
        <w:t>completările</w:t>
      </w:r>
      <w:proofErr w:type="spellEnd"/>
      <w:r w:rsidR="008E4525" w:rsidRPr="00B9656D">
        <w:rPr>
          <w:i/>
          <w:iCs/>
          <w:lang w:val="fr-FR"/>
        </w:rPr>
        <w:t xml:space="preserve"> </w:t>
      </w:r>
      <w:proofErr w:type="spellStart"/>
      <w:r w:rsidR="008E4525" w:rsidRPr="00B9656D">
        <w:rPr>
          <w:i/>
          <w:iCs/>
          <w:lang w:val="fr-FR"/>
        </w:rPr>
        <w:t>ulterioare</w:t>
      </w:r>
      <w:proofErr w:type="spellEnd"/>
      <w:r w:rsidR="003E535B" w:rsidRPr="00B9656D">
        <w:rPr>
          <w:iCs/>
          <w:lang w:val="fr-FR"/>
        </w:rPr>
        <w:t xml:space="preserve">), </w:t>
      </w:r>
      <w:proofErr w:type="spellStart"/>
      <w:r w:rsidR="007D65CE" w:rsidRPr="00B9656D">
        <w:rPr>
          <w:lang w:val="fr-FR"/>
        </w:rPr>
        <w:t>Comitetul</w:t>
      </w:r>
      <w:proofErr w:type="spellEnd"/>
      <w:r w:rsidR="007D65CE" w:rsidRPr="00B9656D">
        <w:rPr>
          <w:lang w:val="fr-FR"/>
        </w:rPr>
        <w:t xml:space="preserve"> a </w:t>
      </w:r>
      <w:proofErr w:type="spellStart"/>
      <w:r w:rsidR="008E4525" w:rsidRPr="00B9656D">
        <w:rPr>
          <w:lang w:val="fr-FR"/>
        </w:rPr>
        <w:t>evaluat</w:t>
      </w:r>
      <w:proofErr w:type="spellEnd"/>
      <w:r w:rsidR="008E4525" w:rsidRPr="00B9656D">
        <w:rPr>
          <w:lang w:val="fr-FR"/>
        </w:rPr>
        <w:t xml:space="preserve"> </w:t>
      </w:r>
      <w:r w:rsidR="007D65CE" w:rsidRPr="00B9656D">
        <w:rPr>
          <w:lang w:val="fr-FR"/>
        </w:rPr>
        <w:t xml:space="preserve"> </w:t>
      </w:r>
      <w:proofErr w:type="spellStart"/>
      <w:r w:rsidR="008E4525" w:rsidRPr="00B9656D">
        <w:rPr>
          <w:lang w:val="fr-FR"/>
        </w:rPr>
        <w:t>obiectivele</w:t>
      </w:r>
      <w:proofErr w:type="spellEnd"/>
      <w:r w:rsidR="008E4525" w:rsidRPr="00B9656D">
        <w:rPr>
          <w:lang w:val="fr-FR"/>
        </w:rPr>
        <w:t xml:space="preserve"> </w:t>
      </w:r>
      <w:proofErr w:type="spellStart"/>
      <w:r w:rsidR="008E4525" w:rsidRPr="00B9656D">
        <w:rPr>
          <w:lang w:val="fr-FR"/>
        </w:rPr>
        <w:t>și</w:t>
      </w:r>
      <w:proofErr w:type="spellEnd"/>
      <w:r w:rsidR="008E4525" w:rsidRPr="00B9656D">
        <w:rPr>
          <w:lang w:val="fr-FR"/>
        </w:rPr>
        <w:t xml:space="preserve"> </w:t>
      </w:r>
      <w:proofErr w:type="spellStart"/>
      <w:r w:rsidR="008E4525" w:rsidRPr="00B9656D">
        <w:rPr>
          <w:lang w:val="fr-FR"/>
        </w:rPr>
        <w:t>instrumentele</w:t>
      </w:r>
      <w:proofErr w:type="spellEnd"/>
      <w:r w:rsidR="008E4525" w:rsidRPr="00B9656D">
        <w:rPr>
          <w:lang w:val="fr-FR"/>
        </w:rPr>
        <w:t xml:space="preserve"> </w:t>
      </w:r>
      <w:proofErr w:type="spellStart"/>
      <w:r w:rsidR="008E4525" w:rsidRPr="00B9656D">
        <w:rPr>
          <w:lang w:val="fr-FR"/>
        </w:rPr>
        <w:t>macroprudențiale</w:t>
      </w:r>
      <w:proofErr w:type="spellEnd"/>
      <w:r w:rsidR="003E535B" w:rsidRPr="00B9656D">
        <w:rPr>
          <w:lang w:val="fr-FR"/>
        </w:rPr>
        <w:t xml:space="preserve"> </w:t>
      </w:r>
      <w:proofErr w:type="spellStart"/>
      <w:r w:rsidR="003E535B" w:rsidRPr="00B9656D">
        <w:rPr>
          <w:lang w:val="fr-FR"/>
        </w:rPr>
        <w:t>asumate</w:t>
      </w:r>
      <w:proofErr w:type="spellEnd"/>
      <w:r w:rsidR="00D57CC5" w:rsidRPr="00B9656D">
        <w:rPr>
          <w:lang w:val="fr-FR"/>
        </w:rPr>
        <w:t xml:space="preserve"> </w:t>
      </w:r>
      <w:proofErr w:type="spellStart"/>
      <w:r w:rsidR="00D57CC5" w:rsidRPr="00B9656D">
        <w:rPr>
          <w:lang w:val="fr-FR"/>
        </w:rPr>
        <w:t>anterior</w:t>
      </w:r>
      <w:proofErr w:type="spellEnd"/>
      <w:r w:rsidR="00D57CC5" w:rsidRPr="00B9656D">
        <w:rPr>
          <w:lang w:val="fr-FR"/>
        </w:rPr>
        <w:t xml:space="preserve"> de </w:t>
      </w:r>
      <w:proofErr w:type="spellStart"/>
      <w:r w:rsidR="00D57CC5" w:rsidRPr="00B9656D">
        <w:rPr>
          <w:lang w:val="fr-FR"/>
        </w:rPr>
        <w:t>către</w:t>
      </w:r>
      <w:proofErr w:type="spellEnd"/>
      <w:r w:rsidR="00D57CC5" w:rsidRPr="00B9656D">
        <w:rPr>
          <w:lang w:val="fr-FR"/>
        </w:rPr>
        <w:t xml:space="preserve"> BNR </w:t>
      </w:r>
      <w:proofErr w:type="spellStart"/>
      <w:r w:rsidR="00D57CC5" w:rsidRPr="00B9656D">
        <w:rPr>
          <w:lang w:val="fr-FR"/>
        </w:rPr>
        <w:t>și</w:t>
      </w:r>
      <w:proofErr w:type="spellEnd"/>
      <w:r w:rsidR="00D57CC5" w:rsidRPr="00B9656D">
        <w:rPr>
          <w:lang w:val="fr-FR"/>
        </w:rPr>
        <w:t xml:space="preserve"> ASF</w:t>
      </w:r>
      <w:r w:rsidR="003E535B" w:rsidRPr="00B9656D">
        <w:rPr>
          <w:lang w:val="fr-FR"/>
        </w:rPr>
        <w:t xml:space="preserve">. O </w:t>
      </w:r>
      <w:proofErr w:type="spellStart"/>
      <w:r w:rsidR="003E535B" w:rsidRPr="00B9656D">
        <w:rPr>
          <w:lang w:val="fr-FR"/>
        </w:rPr>
        <w:t>atenție</w:t>
      </w:r>
      <w:proofErr w:type="spellEnd"/>
      <w:r w:rsidR="003E535B" w:rsidRPr="00B9656D">
        <w:rPr>
          <w:lang w:val="fr-FR"/>
        </w:rPr>
        <w:t xml:space="preserve"> </w:t>
      </w:r>
      <w:proofErr w:type="spellStart"/>
      <w:r w:rsidR="003E535B" w:rsidRPr="00B9656D">
        <w:rPr>
          <w:lang w:val="fr-FR"/>
        </w:rPr>
        <w:t>deosebită</w:t>
      </w:r>
      <w:proofErr w:type="spellEnd"/>
      <w:r w:rsidR="003E535B" w:rsidRPr="00B9656D">
        <w:rPr>
          <w:lang w:val="fr-FR"/>
        </w:rPr>
        <w:t xml:space="preserve"> a </w:t>
      </w:r>
      <w:proofErr w:type="spellStart"/>
      <w:r w:rsidR="003E535B" w:rsidRPr="00B9656D">
        <w:rPr>
          <w:lang w:val="fr-FR"/>
        </w:rPr>
        <w:t>fost</w:t>
      </w:r>
      <w:proofErr w:type="spellEnd"/>
      <w:r w:rsidR="003E535B" w:rsidRPr="00B9656D">
        <w:rPr>
          <w:lang w:val="fr-FR"/>
        </w:rPr>
        <w:t xml:space="preserve"> </w:t>
      </w:r>
      <w:proofErr w:type="spellStart"/>
      <w:r w:rsidR="003E535B" w:rsidRPr="00B9656D">
        <w:rPr>
          <w:lang w:val="fr-FR"/>
        </w:rPr>
        <w:t>acordată</w:t>
      </w:r>
      <w:proofErr w:type="spellEnd"/>
      <w:r w:rsidR="008E4525" w:rsidRPr="00B9656D">
        <w:rPr>
          <w:lang w:val="fr-FR"/>
        </w:rPr>
        <w:t xml:space="preserve"> </w:t>
      </w:r>
      <w:proofErr w:type="spellStart"/>
      <w:r w:rsidR="008E4525" w:rsidRPr="00B9656D">
        <w:rPr>
          <w:lang w:val="fr-FR"/>
        </w:rPr>
        <w:t>amortizoarel</w:t>
      </w:r>
      <w:r w:rsidR="003E535B" w:rsidRPr="00B9656D">
        <w:rPr>
          <w:lang w:val="fr-FR"/>
        </w:rPr>
        <w:t>o</w:t>
      </w:r>
      <w:r w:rsidR="00D57CC5" w:rsidRPr="00B9656D">
        <w:rPr>
          <w:lang w:val="fr-FR"/>
        </w:rPr>
        <w:t>r</w:t>
      </w:r>
      <w:proofErr w:type="spellEnd"/>
      <w:r w:rsidR="008E4525" w:rsidRPr="00B9656D">
        <w:rPr>
          <w:lang w:val="fr-FR"/>
        </w:rPr>
        <w:t xml:space="preserve"> de capital </w:t>
      </w:r>
      <w:r w:rsidR="003E535B" w:rsidRPr="00B9656D">
        <w:rPr>
          <w:lang w:val="fr-FR"/>
        </w:rPr>
        <w:t xml:space="preserve">ce pot fi </w:t>
      </w:r>
      <w:proofErr w:type="spellStart"/>
      <w:r w:rsidR="003E535B" w:rsidRPr="00B9656D">
        <w:rPr>
          <w:lang w:val="fr-FR"/>
        </w:rPr>
        <w:t>impuse</w:t>
      </w:r>
      <w:proofErr w:type="spellEnd"/>
      <w:r w:rsidR="003E535B" w:rsidRPr="00B9656D">
        <w:rPr>
          <w:lang w:val="fr-FR"/>
        </w:rPr>
        <w:t xml:space="preserve"> </w:t>
      </w:r>
      <w:proofErr w:type="spellStart"/>
      <w:r w:rsidR="003E535B" w:rsidRPr="00B9656D">
        <w:rPr>
          <w:lang w:val="fr-FR"/>
        </w:rPr>
        <w:t>instituţiilor</w:t>
      </w:r>
      <w:proofErr w:type="spellEnd"/>
      <w:r w:rsidR="003E535B" w:rsidRPr="00B9656D">
        <w:rPr>
          <w:lang w:val="fr-FR"/>
        </w:rPr>
        <w:t xml:space="preserve"> de </w:t>
      </w:r>
      <w:proofErr w:type="spellStart"/>
      <w:r w:rsidR="003E535B" w:rsidRPr="00B9656D">
        <w:rPr>
          <w:lang w:val="fr-FR"/>
        </w:rPr>
        <w:t>credit</w:t>
      </w:r>
      <w:proofErr w:type="spellEnd"/>
      <w:r w:rsidR="003E535B" w:rsidRPr="00B9656D">
        <w:rPr>
          <w:lang w:val="fr-FR"/>
        </w:rPr>
        <w:t xml:space="preserve">, </w:t>
      </w:r>
      <w:proofErr w:type="spellStart"/>
      <w:r w:rsidR="003E535B" w:rsidRPr="00B9656D">
        <w:rPr>
          <w:lang w:val="fr-FR"/>
        </w:rPr>
        <w:t>pe</w:t>
      </w:r>
      <w:proofErr w:type="spellEnd"/>
      <w:r w:rsidR="003E535B" w:rsidRPr="00B9656D">
        <w:rPr>
          <w:lang w:val="fr-FR"/>
        </w:rPr>
        <w:t xml:space="preserve"> </w:t>
      </w:r>
      <w:proofErr w:type="spellStart"/>
      <w:r w:rsidR="003E535B" w:rsidRPr="00B9656D">
        <w:rPr>
          <w:lang w:val="fr-FR"/>
        </w:rPr>
        <w:t>lângă</w:t>
      </w:r>
      <w:proofErr w:type="spellEnd"/>
      <w:r w:rsidR="003E535B" w:rsidRPr="00B9656D">
        <w:rPr>
          <w:lang w:val="fr-FR"/>
        </w:rPr>
        <w:t xml:space="preserve"> </w:t>
      </w:r>
      <w:proofErr w:type="spellStart"/>
      <w:r w:rsidR="003E535B" w:rsidRPr="00B9656D">
        <w:rPr>
          <w:lang w:val="fr-FR"/>
        </w:rPr>
        <w:t>cerinţele</w:t>
      </w:r>
      <w:proofErr w:type="spellEnd"/>
      <w:r w:rsidR="003E535B" w:rsidRPr="00B9656D">
        <w:rPr>
          <w:lang w:val="fr-FR"/>
        </w:rPr>
        <w:t xml:space="preserve"> minime de </w:t>
      </w:r>
      <w:proofErr w:type="spellStart"/>
      <w:r w:rsidR="003E535B" w:rsidRPr="00B9656D">
        <w:rPr>
          <w:lang w:val="fr-FR"/>
        </w:rPr>
        <w:t>fonduri</w:t>
      </w:r>
      <w:proofErr w:type="spellEnd"/>
      <w:r w:rsidR="003E535B" w:rsidRPr="00B9656D">
        <w:rPr>
          <w:lang w:val="fr-FR"/>
        </w:rPr>
        <w:t xml:space="preserve"> </w:t>
      </w:r>
      <w:proofErr w:type="spellStart"/>
      <w:r w:rsidR="003E535B" w:rsidRPr="00B9656D">
        <w:rPr>
          <w:lang w:val="fr-FR"/>
        </w:rPr>
        <w:t>proprii</w:t>
      </w:r>
      <w:proofErr w:type="spellEnd"/>
      <w:r w:rsidR="003E535B" w:rsidRPr="00B9656D">
        <w:rPr>
          <w:lang w:val="fr-FR"/>
        </w:rPr>
        <w:t xml:space="preserve">, </w:t>
      </w:r>
      <w:proofErr w:type="spellStart"/>
      <w:r w:rsidR="003E535B" w:rsidRPr="00B9656D">
        <w:rPr>
          <w:lang w:val="fr-FR"/>
        </w:rPr>
        <w:t>în</w:t>
      </w:r>
      <w:proofErr w:type="spellEnd"/>
      <w:r w:rsidR="003E535B" w:rsidRPr="00B9656D">
        <w:rPr>
          <w:lang w:val="fr-FR"/>
        </w:rPr>
        <w:t xml:space="preserve"> </w:t>
      </w:r>
      <w:proofErr w:type="spellStart"/>
      <w:r w:rsidR="003E535B" w:rsidRPr="00B9656D">
        <w:rPr>
          <w:lang w:val="fr-FR"/>
        </w:rPr>
        <w:t>vederea</w:t>
      </w:r>
      <w:proofErr w:type="spellEnd"/>
      <w:r w:rsidR="003E535B" w:rsidRPr="00B9656D">
        <w:rPr>
          <w:lang w:val="fr-FR"/>
        </w:rPr>
        <w:t xml:space="preserve"> </w:t>
      </w:r>
      <w:proofErr w:type="spellStart"/>
      <w:r w:rsidR="00D273FB" w:rsidRPr="00B9656D">
        <w:rPr>
          <w:lang w:val="fr-FR"/>
        </w:rPr>
        <w:t>creşterii</w:t>
      </w:r>
      <w:proofErr w:type="spellEnd"/>
      <w:r w:rsidR="00D273FB" w:rsidRPr="00B9656D">
        <w:rPr>
          <w:lang w:val="fr-FR"/>
        </w:rPr>
        <w:t xml:space="preserve"> </w:t>
      </w:r>
      <w:proofErr w:type="spellStart"/>
      <w:r w:rsidR="00D273FB" w:rsidRPr="00B9656D">
        <w:rPr>
          <w:lang w:val="fr-FR"/>
        </w:rPr>
        <w:t>rezilienţei</w:t>
      </w:r>
      <w:proofErr w:type="spellEnd"/>
      <w:r w:rsidR="00091CAC" w:rsidRPr="00B9656D">
        <w:rPr>
          <w:lang w:val="fr-FR"/>
        </w:rPr>
        <w:t xml:space="preserve"> </w:t>
      </w:r>
      <w:proofErr w:type="spellStart"/>
      <w:r w:rsidR="00D273FB" w:rsidRPr="00B9656D">
        <w:rPr>
          <w:lang w:val="fr-FR"/>
        </w:rPr>
        <w:t>sectorului</w:t>
      </w:r>
      <w:proofErr w:type="spellEnd"/>
      <w:r w:rsidR="00D273FB" w:rsidRPr="00B9656D">
        <w:rPr>
          <w:lang w:val="fr-FR"/>
        </w:rPr>
        <w:t xml:space="preserve"> </w:t>
      </w:r>
      <w:proofErr w:type="spellStart"/>
      <w:r w:rsidR="0006237A" w:rsidRPr="00B9656D">
        <w:rPr>
          <w:lang w:val="fr-FR"/>
        </w:rPr>
        <w:t>financiar</w:t>
      </w:r>
      <w:proofErr w:type="spellEnd"/>
      <w:r w:rsidR="009375E0" w:rsidRPr="00B9656D">
        <w:rPr>
          <w:lang w:val="fr-FR"/>
        </w:rPr>
        <w:t xml:space="preserve">, </w:t>
      </w:r>
      <w:proofErr w:type="spellStart"/>
      <w:r w:rsidR="009375E0" w:rsidRPr="00B9656D">
        <w:rPr>
          <w:lang w:val="fr-FR"/>
        </w:rPr>
        <w:t>precum</w:t>
      </w:r>
      <w:proofErr w:type="spellEnd"/>
      <w:r w:rsidR="009375E0" w:rsidRPr="00B9656D">
        <w:rPr>
          <w:lang w:val="fr-FR"/>
        </w:rPr>
        <w:t xml:space="preserve"> </w:t>
      </w:r>
      <w:proofErr w:type="spellStart"/>
      <w:r w:rsidR="009375E0" w:rsidRPr="00B9656D">
        <w:rPr>
          <w:lang w:val="fr-FR"/>
        </w:rPr>
        <w:t>și</w:t>
      </w:r>
      <w:proofErr w:type="spellEnd"/>
      <w:r w:rsidR="009375E0" w:rsidRPr="00B9656D">
        <w:rPr>
          <w:lang w:val="fr-FR"/>
        </w:rPr>
        <w:t xml:space="preserve"> a </w:t>
      </w:r>
      <w:proofErr w:type="spellStart"/>
      <w:r w:rsidR="0006237A" w:rsidRPr="00B9656D">
        <w:rPr>
          <w:lang w:val="fr-FR"/>
        </w:rPr>
        <w:t>limitării</w:t>
      </w:r>
      <w:proofErr w:type="spellEnd"/>
      <w:r w:rsidR="0006237A" w:rsidRPr="00B9656D">
        <w:rPr>
          <w:lang w:val="fr-FR"/>
        </w:rPr>
        <w:t xml:space="preserve"> </w:t>
      </w:r>
      <w:proofErr w:type="spellStart"/>
      <w:r w:rsidR="0006237A" w:rsidRPr="00B9656D">
        <w:rPr>
          <w:lang w:val="fr-FR"/>
        </w:rPr>
        <w:t>eventualelor</w:t>
      </w:r>
      <w:proofErr w:type="spellEnd"/>
      <w:r w:rsidR="0006237A" w:rsidRPr="00B9656D">
        <w:rPr>
          <w:lang w:val="fr-FR"/>
        </w:rPr>
        <w:t xml:space="preserve"> </w:t>
      </w:r>
      <w:proofErr w:type="spellStart"/>
      <w:r w:rsidR="0006237A" w:rsidRPr="00B9656D">
        <w:rPr>
          <w:lang w:val="fr-FR"/>
        </w:rPr>
        <w:t>efecte</w:t>
      </w:r>
      <w:proofErr w:type="spellEnd"/>
      <w:r w:rsidR="0006237A" w:rsidRPr="00B9656D">
        <w:rPr>
          <w:lang w:val="fr-FR"/>
        </w:rPr>
        <w:t xml:space="preserve"> </w:t>
      </w:r>
      <w:proofErr w:type="spellStart"/>
      <w:r w:rsidR="0006237A" w:rsidRPr="00B9656D">
        <w:rPr>
          <w:lang w:val="fr-FR"/>
        </w:rPr>
        <w:t>negative</w:t>
      </w:r>
      <w:proofErr w:type="spellEnd"/>
      <w:r w:rsidR="0006237A" w:rsidRPr="00B9656D">
        <w:rPr>
          <w:lang w:val="fr-FR"/>
        </w:rPr>
        <w:t xml:space="preserve"> </w:t>
      </w:r>
      <w:proofErr w:type="spellStart"/>
      <w:r w:rsidR="0006237A" w:rsidRPr="00B9656D">
        <w:rPr>
          <w:lang w:val="fr-FR"/>
        </w:rPr>
        <w:t>asupra</w:t>
      </w:r>
      <w:proofErr w:type="spellEnd"/>
      <w:r w:rsidR="0006237A" w:rsidRPr="00B9656D">
        <w:rPr>
          <w:lang w:val="fr-FR"/>
        </w:rPr>
        <w:t xml:space="preserve"> </w:t>
      </w:r>
      <w:proofErr w:type="spellStart"/>
      <w:r w:rsidR="0006237A" w:rsidRPr="00B9656D">
        <w:rPr>
          <w:color w:val="222222"/>
          <w:shd w:val="clear" w:color="auto" w:fill="FFFFFF"/>
          <w:lang w:val="fr-FR"/>
        </w:rPr>
        <w:t>stabilităţii</w:t>
      </w:r>
      <w:proofErr w:type="spellEnd"/>
      <w:r w:rsidR="0006237A" w:rsidRPr="00B9656D">
        <w:rPr>
          <w:color w:val="222222"/>
          <w:shd w:val="clear" w:color="auto" w:fill="FFFFFF"/>
          <w:lang w:val="fr-FR"/>
        </w:rPr>
        <w:t xml:space="preserve"> </w:t>
      </w:r>
      <w:proofErr w:type="spellStart"/>
      <w:r w:rsidR="0006237A" w:rsidRPr="00B9656D">
        <w:rPr>
          <w:color w:val="222222"/>
          <w:shd w:val="clear" w:color="auto" w:fill="FFFFFF"/>
          <w:lang w:val="fr-FR"/>
        </w:rPr>
        <w:t>sistemului</w:t>
      </w:r>
      <w:proofErr w:type="spellEnd"/>
      <w:r w:rsidR="0006237A" w:rsidRPr="00B9656D">
        <w:rPr>
          <w:color w:val="222222"/>
          <w:shd w:val="clear" w:color="auto" w:fill="FFFFFF"/>
          <w:lang w:val="fr-FR"/>
        </w:rPr>
        <w:t xml:space="preserve"> </w:t>
      </w:r>
      <w:proofErr w:type="spellStart"/>
      <w:r w:rsidR="0006237A" w:rsidRPr="00B9656D">
        <w:rPr>
          <w:color w:val="222222"/>
          <w:shd w:val="clear" w:color="auto" w:fill="FFFFFF"/>
          <w:lang w:val="fr-FR"/>
        </w:rPr>
        <w:t>financiar</w:t>
      </w:r>
      <w:proofErr w:type="spellEnd"/>
      <w:r w:rsidR="0006237A" w:rsidRPr="00B9656D">
        <w:rPr>
          <w:color w:val="222222"/>
          <w:shd w:val="clear" w:color="auto" w:fill="FFFFFF"/>
          <w:lang w:val="fr-FR"/>
        </w:rPr>
        <w:t xml:space="preserve"> </w:t>
      </w:r>
      <w:proofErr w:type="spellStart"/>
      <w:r w:rsidR="0006237A" w:rsidRPr="00B9656D">
        <w:rPr>
          <w:color w:val="222222"/>
          <w:shd w:val="clear" w:color="auto" w:fill="FFFFFF"/>
          <w:lang w:val="fr-FR"/>
        </w:rPr>
        <w:t>şi</w:t>
      </w:r>
      <w:proofErr w:type="spellEnd"/>
      <w:r w:rsidR="0006237A" w:rsidRPr="00B9656D">
        <w:rPr>
          <w:color w:val="222222"/>
          <w:shd w:val="clear" w:color="auto" w:fill="FFFFFF"/>
          <w:lang w:val="fr-FR"/>
        </w:rPr>
        <w:t xml:space="preserve"> </w:t>
      </w:r>
      <w:r w:rsidR="00A9106A" w:rsidRPr="00B9656D">
        <w:rPr>
          <w:color w:val="222222"/>
          <w:shd w:val="clear" w:color="auto" w:fill="FFFFFF"/>
          <w:lang w:val="fr-FR"/>
        </w:rPr>
        <w:t xml:space="preserve">a </w:t>
      </w:r>
      <w:proofErr w:type="spellStart"/>
      <w:r w:rsidR="0006237A" w:rsidRPr="00B9656D">
        <w:rPr>
          <w:color w:val="222222"/>
          <w:shd w:val="clear" w:color="auto" w:fill="FFFFFF"/>
          <w:lang w:val="fr-FR"/>
        </w:rPr>
        <w:t>stabilităţii</w:t>
      </w:r>
      <w:proofErr w:type="spellEnd"/>
      <w:r w:rsidR="0006237A" w:rsidRPr="00B9656D">
        <w:rPr>
          <w:color w:val="222222"/>
          <w:shd w:val="clear" w:color="auto" w:fill="FFFFFF"/>
          <w:lang w:val="fr-FR"/>
        </w:rPr>
        <w:t xml:space="preserve"> </w:t>
      </w:r>
      <w:proofErr w:type="spellStart"/>
      <w:r w:rsidR="0006237A" w:rsidRPr="00B9656D">
        <w:rPr>
          <w:color w:val="222222"/>
          <w:shd w:val="clear" w:color="auto" w:fill="FFFFFF"/>
          <w:lang w:val="fr-FR"/>
        </w:rPr>
        <w:t>economice</w:t>
      </w:r>
      <w:proofErr w:type="spellEnd"/>
      <w:r w:rsidR="003E535B" w:rsidRPr="00B9656D">
        <w:rPr>
          <w:lang w:val="fr-FR"/>
        </w:rPr>
        <w:t>.</w:t>
      </w:r>
    </w:p>
    <w:p w:rsidR="00645B7C" w:rsidRDefault="003E535B" w:rsidP="00645B7C">
      <w:pPr>
        <w:pStyle w:val="NormalWeb"/>
        <w:jc w:val="both"/>
        <w:rPr>
          <w:lang w:val="ro-RO"/>
        </w:rPr>
      </w:pPr>
      <w:proofErr w:type="spellStart"/>
      <w:r w:rsidRPr="00B9656D">
        <w:rPr>
          <w:lang w:val="fr-FR"/>
        </w:rPr>
        <w:t>În</w:t>
      </w:r>
      <w:proofErr w:type="spellEnd"/>
      <w:r w:rsidRPr="00B9656D">
        <w:rPr>
          <w:lang w:val="fr-FR"/>
        </w:rPr>
        <w:t xml:space="preserve"> </w:t>
      </w:r>
      <w:proofErr w:type="spellStart"/>
      <w:r w:rsidRPr="00B9656D">
        <w:rPr>
          <w:lang w:val="fr-FR"/>
        </w:rPr>
        <w:t>acest</w:t>
      </w:r>
      <w:proofErr w:type="spellEnd"/>
      <w:r w:rsidRPr="00B9656D">
        <w:rPr>
          <w:lang w:val="fr-FR"/>
        </w:rPr>
        <w:t xml:space="preserve"> </w:t>
      </w:r>
      <w:proofErr w:type="spellStart"/>
      <w:r w:rsidRPr="00B9656D">
        <w:rPr>
          <w:lang w:val="fr-FR"/>
        </w:rPr>
        <w:t>scop</w:t>
      </w:r>
      <w:proofErr w:type="spellEnd"/>
      <w:r w:rsidRPr="00B9656D">
        <w:rPr>
          <w:lang w:val="fr-FR"/>
        </w:rPr>
        <w:t xml:space="preserve">, </w:t>
      </w:r>
      <w:proofErr w:type="spellStart"/>
      <w:r w:rsidRPr="00B9656D">
        <w:rPr>
          <w:lang w:val="fr-FR"/>
        </w:rPr>
        <w:t>membrii</w:t>
      </w:r>
      <w:proofErr w:type="spellEnd"/>
      <w:r w:rsidRPr="00B9656D">
        <w:rPr>
          <w:lang w:val="fr-FR"/>
        </w:rPr>
        <w:t xml:space="preserve"> CNSF </w:t>
      </w:r>
      <w:proofErr w:type="gramStart"/>
      <w:r w:rsidRPr="00B9656D">
        <w:rPr>
          <w:lang w:val="fr-FR"/>
        </w:rPr>
        <w:t xml:space="preserve">au </w:t>
      </w:r>
      <w:proofErr w:type="spellStart"/>
      <w:r w:rsidRPr="00B9656D">
        <w:rPr>
          <w:lang w:val="fr-FR"/>
        </w:rPr>
        <w:t>adoptat</w:t>
      </w:r>
      <w:proofErr w:type="spellEnd"/>
      <w:proofErr w:type="gramEnd"/>
      <w:r w:rsidRPr="00B9656D">
        <w:rPr>
          <w:lang w:val="fr-FR"/>
        </w:rPr>
        <w:t xml:space="preserve"> </w:t>
      </w:r>
      <w:proofErr w:type="spellStart"/>
      <w:r w:rsidRPr="00B9656D">
        <w:rPr>
          <w:lang w:val="fr-FR"/>
        </w:rPr>
        <w:t>Recomandarea</w:t>
      </w:r>
      <w:proofErr w:type="spellEnd"/>
      <w:r w:rsidRPr="00B9656D">
        <w:rPr>
          <w:lang w:val="fr-FR"/>
        </w:rPr>
        <w:t xml:space="preserve"> CNSF nr. 1/</w:t>
      </w:r>
      <w:r w:rsidR="0064107F" w:rsidRPr="00B9656D">
        <w:rPr>
          <w:lang w:val="fr-FR"/>
        </w:rPr>
        <w:t>26.11.</w:t>
      </w:r>
      <w:r w:rsidRPr="00B9656D">
        <w:rPr>
          <w:lang w:val="fr-FR"/>
        </w:rPr>
        <w:t>201</w:t>
      </w:r>
      <w:r w:rsidR="00645B7C" w:rsidRPr="00B9656D">
        <w:rPr>
          <w:lang w:val="fr-FR"/>
        </w:rPr>
        <w:t>5</w:t>
      </w:r>
      <w:r w:rsidRPr="00B9656D">
        <w:rPr>
          <w:lang w:val="fr-FR"/>
        </w:rPr>
        <w:t xml:space="preserve"> </w:t>
      </w:r>
      <w:proofErr w:type="spellStart"/>
      <w:r w:rsidRPr="00B9656D">
        <w:rPr>
          <w:lang w:val="fr-FR"/>
        </w:rPr>
        <w:t>prin</w:t>
      </w:r>
      <w:proofErr w:type="spellEnd"/>
      <w:r w:rsidRPr="00B9656D">
        <w:rPr>
          <w:lang w:val="fr-FR"/>
        </w:rPr>
        <w:t xml:space="preserve"> care se </w:t>
      </w:r>
      <w:proofErr w:type="spellStart"/>
      <w:r w:rsidRPr="00B9656D">
        <w:rPr>
          <w:lang w:val="fr-FR"/>
        </w:rPr>
        <w:t>recomandă</w:t>
      </w:r>
      <w:proofErr w:type="spellEnd"/>
      <w:r w:rsidR="00AC2B56" w:rsidRPr="00B9656D">
        <w:rPr>
          <w:lang w:val="fr-FR"/>
        </w:rPr>
        <w:t xml:space="preserve"> </w:t>
      </w:r>
      <w:proofErr w:type="spellStart"/>
      <w:r w:rsidRPr="00B9656D">
        <w:rPr>
          <w:lang w:val="fr-FR"/>
        </w:rPr>
        <w:t>Băncii</w:t>
      </w:r>
      <w:proofErr w:type="spellEnd"/>
      <w:r w:rsidRPr="00B9656D">
        <w:rPr>
          <w:lang w:val="fr-FR"/>
        </w:rPr>
        <w:t xml:space="preserve"> </w:t>
      </w:r>
      <w:proofErr w:type="spellStart"/>
      <w:r w:rsidRPr="00B9656D">
        <w:rPr>
          <w:lang w:val="fr-FR"/>
        </w:rPr>
        <w:t>Naţionale</w:t>
      </w:r>
      <w:proofErr w:type="spellEnd"/>
      <w:r w:rsidRPr="00B9656D">
        <w:rPr>
          <w:lang w:val="fr-FR"/>
        </w:rPr>
        <w:t xml:space="preserve"> a </w:t>
      </w:r>
      <w:proofErr w:type="spellStart"/>
      <w:r w:rsidRPr="00B9656D">
        <w:rPr>
          <w:lang w:val="fr-FR"/>
        </w:rPr>
        <w:t>României</w:t>
      </w:r>
      <w:proofErr w:type="spellEnd"/>
      <w:r w:rsidR="00DE44ED" w:rsidRPr="00B9656D">
        <w:rPr>
          <w:lang w:val="fr-FR"/>
        </w:rPr>
        <w:t xml:space="preserve">, </w:t>
      </w:r>
      <w:proofErr w:type="spellStart"/>
      <w:r w:rsidR="00DE44ED" w:rsidRPr="00B9656D">
        <w:rPr>
          <w:lang w:val="fr-FR"/>
        </w:rPr>
        <w:t>în</w:t>
      </w:r>
      <w:proofErr w:type="spellEnd"/>
      <w:r w:rsidR="00DE44ED" w:rsidRPr="00B9656D">
        <w:rPr>
          <w:lang w:val="fr-FR"/>
        </w:rPr>
        <w:t xml:space="preserve"> </w:t>
      </w:r>
      <w:proofErr w:type="spellStart"/>
      <w:r w:rsidR="00DE44ED" w:rsidRPr="00B9656D">
        <w:rPr>
          <w:lang w:val="fr-FR"/>
        </w:rPr>
        <w:t>calitate</w:t>
      </w:r>
      <w:proofErr w:type="spellEnd"/>
      <w:r w:rsidR="00DE44ED" w:rsidRPr="00B9656D">
        <w:rPr>
          <w:lang w:val="fr-FR"/>
        </w:rPr>
        <w:t xml:space="preserve"> de </w:t>
      </w:r>
      <w:proofErr w:type="spellStart"/>
      <w:r w:rsidR="00DE44ED" w:rsidRPr="00B9656D">
        <w:rPr>
          <w:lang w:val="fr-FR"/>
        </w:rPr>
        <w:t>autoritate</w:t>
      </w:r>
      <w:proofErr w:type="spellEnd"/>
      <w:r w:rsidR="00DE44ED" w:rsidRPr="00B9656D">
        <w:rPr>
          <w:lang w:val="fr-FR"/>
        </w:rPr>
        <w:t xml:space="preserve"> </w:t>
      </w:r>
      <w:proofErr w:type="spellStart"/>
      <w:r w:rsidR="00DE44ED" w:rsidRPr="00B9656D">
        <w:rPr>
          <w:lang w:val="fr-FR"/>
        </w:rPr>
        <w:t>competentă</w:t>
      </w:r>
      <w:proofErr w:type="spellEnd"/>
      <w:r w:rsidR="00DE44ED" w:rsidRPr="00B9656D">
        <w:rPr>
          <w:lang w:val="fr-FR"/>
        </w:rPr>
        <w:t xml:space="preserve">, </w:t>
      </w:r>
      <w:proofErr w:type="spellStart"/>
      <w:r w:rsidRPr="00B9656D">
        <w:rPr>
          <w:lang w:val="fr-FR"/>
        </w:rPr>
        <w:t>să</w:t>
      </w:r>
      <w:proofErr w:type="spellEnd"/>
      <w:r w:rsidR="00645B7C" w:rsidRPr="00B9656D">
        <w:rPr>
          <w:lang w:val="fr-FR"/>
        </w:rPr>
        <w:t xml:space="preserve"> </w:t>
      </w:r>
      <w:proofErr w:type="spellStart"/>
      <w:r w:rsidR="00645B7C" w:rsidRPr="00B9656D">
        <w:rPr>
          <w:lang w:val="fr-FR"/>
        </w:rPr>
        <w:t>impună</w:t>
      </w:r>
      <w:proofErr w:type="spellEnd"/>
      <w:r w:rsidR="00645B7C" w:rsidRPr="00B9656D">
        <w:rPr>
          <w:lang w:val="fr-FR"/>
        </w:rPr>
        <w:t xml:space="preserve"> </w:t>
      </w:r>
      <w:proofErr w:type="spellStart"/>
      <w:r w:rsidR="00645B7C" w:rsidRPr="00B9656D">
        <w:rPr>
          <w:lang w:val="fr-FR"/>
        </w:rPr>
        <w:t>instituţiilor</w:t>
      </w:r>
      <w:proofErr w:type="spellEnd"/>
      <w:r w:rsidR="00645B7C" w:rsidRPr="00B9656D">
        <w:rPr>
          <w:lang w:val="fr-FR"/>
        </w:rPr>
        <w:t xml:space="preserve"> de </w:t>
      </w:r>
      <w:proofErr w:type="spellStart"/>
      <w:r w:rsidR="00645B7C" w:rsidRPr="00B9656D">
        <w:rPr>
          <w:lang w:val="fr-FR"/>
        </w:rPr>
        <w:t>credit</w:t>
      </w:r>
      <w:proofErr w:type="spellEnd"/>
      <w:r w:rsidR="00645B7C" w:rsidRPr="00B9656D">
        <w:rPr>
          <w:lang w:val="fr-FR"/>
        </w:rPr>
        <w:t xml:space="preserve">, </w:t>
      </w:r>
      <w:proofErr w:type="spellStart"/>
      <w:r w:rsidR="00645B7C" w:rsidRPr="00B9656D">
        <w:rPr>
          <w:lang w:val="fr-FR"/>
        </w:rPr>
        <w:t>implementa</w:t>
      </w:r>
      <w:r w:rsidR="00A9106A" w:rsidRPr="00B9656D">
        <w:rPr>
          <w:lang w:val="fr-FR"/>
        </w:rPr>
        <w:t>rea</w:t>
      </w:r>
      <w:proofErr w:type="spellEnd"/>
      <w:r w:rsidR="00A9106A" w:rsidRPr="00B9656D">
        <w:rPr>
          <w:lang w:val="fr-FR"/>
        </w:rPr>
        <w:t xml:space="preserve"> </w:t>
      </w:r>
      <w:proofErr w:type="spellStart"/>
      <w:r w:rsidR="00A9106A" w:rsidRPr="00B9656D">
        <w:rPr>
          <w:lang w:val="fr-FR"/>
        </w:rPr>
        <w:t>amortizoarelor</w:t>
      </w:r>
      <w:proofErr w:type="spellEnd"/>
      <w:r w:rsidR="00A9106A" w:rsidRPr="00B9656D">
        <w:rPr>
          <w:lang w:val="fr-FR"/>
        </w:rPr>
        <w:t xml:space="preserve"> de capital, </w:t>
      </w:r>
      <w:proofErr w:type="spellStart"/>
      <w:r w:rsidR="00645B7C" w:rsidRPr="00B9656D">
        <w:rPr>
          <w:lang w:val="fr-FR"/>
        </w:rPr>
        <w:t>începând</w:t>
      </w:r>
      <w:proofErr w:type="spellEnd"/>
      <w:r w:rsidR="00645B7C" w:rsidRPr="00B9656D">
        <w:rPr>
          <w:lang w:val="fr-FR"/>
        </w:rPr>
        <w:t xml:space="preserve"> </w:t>
      </w:r>
      <w:proofErr w:type="spellStart"/>
      <w:r w:rsidR="00645B7C" w:rsidRPr="00B9656D">
        <w:rPr>
          <w:lang w:val="fr-FR"/>
        </w:rPr>
        <w:t>cu</w:t>
      </w:r>
      <w:proofErr w:type="spellEnd"/>
      <w:r w:rsidR="00645B7C" w:rsidRPr="00B9656D">
        <w:rPr>
          <w:lang w:val="fr-FR"/>
        </w:rPr>
        <w:t xml:space="preserve"> 1 </w:t>
      </w:r>
      <w:proofErr w:type="spellStart"/>
      <w:r w:rsidR="00645B7C" w:rsidRPr="00B9656D">
        <w:rPr>
          <w:lang w:val="fr-FR"/>
        </w:rPr>
        <w:t>ianuarie</w:t>
      </w:r>
      <w:proofErr w:type="spellEnd"/>
      <w:r w:rsidR="00645B7C" w:rsidRPr="00B9656D">
        <w:rPr>
          <w:lang w:val="fr-FR"/>
        </w:rPr>
        <w:t xml:space="preserve"> 2016, </w:t>
      </w:r>
      <w:proofErr w:type="spellStart"/>
      <w:r w:rsidR="00645B7C" w:rsidRPr="00B9656D">
        <w:rPr>
          <w:lang w:val="fr-FR"/>
        </w:rPr>
        <w:t>astfel</w:t>
      </w:r>
      <w:proofErr w:type="spellEnd"/>
      <w:r w:rsidR="00645B7C" w:rsidRPr="00B9656D">
        <w:rPr>
          <w:lang w:val="fr-FR"/>
        </w:rPr>
        <w:t xml:space="preserve">: un </w:t>
      </w:r>
      <w:proofErr w:type="spellStart"/>
      <w:r w:rsidR="00645B7C" w:rsidRPr="00B9656D">
        <w:rPr>
          <w:lang w:val="fr-FR"/>
        </w:rPr>
        <w:t>nivel</w:t>
      </w:r>
      <w:proofErr w:type="spellEnd"/>
      <w:r w:rsidR="00645B7C" w:rsidRPr="00B9656D">
        <w:rPr>
          <w:lang w:val="fr-FR"/>
        </w:rPr>
        <w:t xml:space="preserve"> de 0 (</w:t>
      </w:r>
      <w:proofErr w:type="spellStart"/>
      <w:r w:rsidR="00645B7C" w:rsidRPr="00B9656D">
        <w:rPr>
          <w:lang w:val="fr-FR"/>
        </w:rPr>
        <w:t>zero</w:t>
      </w:r>
      <w:proofErr w:type="spellEnd"/>
      <w:r w:rsidR="00645B7C" w:rsidRPr="00B9656D">
        <w:rPr>
          <w:lang w:val="fr-FR"/>
        </w:rPr>
        <w:t xml:space="preserve">) </w:t>
      </w:r>
      <w:r w:rsidR="009375E0" w:rsidRPr="00B9656D">
        <w:rPr>
          <w:lang w:val="fr-FR"/>
        </w:rPr>
        <w:t xml:space="preserve">la </w:t>
      </w:r>
      <w:proofErr w:type="spellStart"/>
      <w:r w:rsidR="009375E0" w:rsidRPr="00B9656D">
        <w:rPr>
          <w:lang w:val="fr-FR"/>
        </w:rPr>
        <w:t>sută</w:t>
      </w:r>
      <w:proofErr w:type="spellEnd"/>
      <w:r w:rsidR="009375E0" w:rsidRPr="00B9656D">
        <w:rPr>
          <w:lang w:val="fr-FR"/>
        </w:rPr>
        <w:t xml:space="preserve"> </w:t>
      </w:r>
      <w:proofErr w:type="spellStart"/>
      <w:r w:rsidR="00645B7C" w:rsidRPr="00B9656D">
        <w:rPr>
          <w:lang w:val="fr-FR"/>
        </w:rPr>
        <w:t>pentru</w:t>
      </w:r>
      <w:proofErr w:type="spellEnd"/>
      <w:r w:rsidR="00645B7C" w:rsidRPr="00B9656D">
        <w:rPr>
          <w:lang w:val="fr-FR"/>
        </w:rPr>
        <w:t xml:space="preserve"> </w:t>
      </w:r>
      <w:proofErr w:type="spellStart"/>
      <w:r w:rsidR="00645B7C" w:rsidRPr="00B9656D">
        <w:rPr>
          <w:lang w:val="fr-FR"/>
        </w:rPr>
        <w:t>amortizorul</w:t>
      </w:r>
      <w:proofErr w:type="spellEnd"/>
      <w:r w:rsidR="00645B7C" w:rsidRPr="00B9656D">
        <w:rPr>
          <w:lang w:val="fr-FR"/>
        </w:rPr>
        <w:t xml:space="preserve"> </w:t>
      </w:r>
      <w:proofErr w:type="spellStart"/>
      <w:r w:rsidR="00645B7C" w:rsidRPr="00B9656D">
        <w:rPr>
          <w:lang w:val="fr-FR"/>
        </w:rPr>
        <w:t>anticiclic</w:t>
      </w:r>
      <w:proofErr w:type="spellEnd"/>
      <w:r w:rsidR="00645B7C" w:rsidRPr="00B9656D">
        <w:rPr>
          <w:lang w:val="fr-FR"/>
        </w:rPr>
        <w:t xml:space="preserve"> de capital, un </w:t>
      </w:r>
      <w:proofErr w:type="spellStart"/>
      <w:r w:rsidR="00645B7C" w:rsidRPr="00B9656D">
        <w:rPr>
          <w:lang w:val="fr-FR"/>
        </w:rPr>
        <w:t>nivel</w:t>
      </w:r>
      <w:proofErr w:type="spellEnd"/>
      <w:r w:rsidR="00645B7C" w:rsidRPr="00B9656D">
        <w:rPr>
          <w:lang w:val="fr-FR"/>
        </w:rPr>
        <w:t xml:space="preserve"> de 0,6</w:t>
      </w:r>
      <w:r w:rsidR="00D57CC5" w:rsidRPr="00B9656D">
        <w:rPr>
          <w:lang w:val="fr-FR"/>
        </w:rPr>
        <w:t>2</w:t>
      </w:r>
      <w:r w:rsidR="00645B7C" w:rsidRPr="00B9656D">
        <w:rPr>
          <w:lang w:val="fr-FR"/>
        </w:rPr>
        <w:t xml:space="preserve">5% </w:t>
      </w:r>
      <w:proofErr w:type="spellStart"/>
      <w:r w:rsidR="00645B7C" w:rsidRPr="00B9656D">
        <w:rPr>
          <w:lang w:val="fr-FR"/>
        </w:rPr>
        <w:t>pentru</w:t>
      </w:r>
      <w:proofErr w:type="spellEnd"/>
      <w:r w:rsidR="00645B7C" w:rsidRPr="00B9656D">
        <w:rPr>
          <w:lang w:val="fr-FR"/>
        </w:rPr>
        <w:t xml:space="preserve"> </w:t>
      </w:r>
      <w:proofErr w:type="spellStart"/>
      <w:r w:rsidR="00645B7C" w:rsidRPr="00B9656D">
        <w:rPr>
          <w:lang w:val="fr-FR"/>
        </w:rPr>
        <w:t>amortizorul</w:t>
      </w:r>
      <w:proofErr w:type="spellEnd"/>
      <w:r w:rsidR="00645B7C" w:rsidRPr="00B9656D">
        <w:rPr>
          <w:lang w:val="fr-FR"/>
        </w:rPr>
        <w:t xml:space="preserve"> de </w:t>
      </w:r>
      <w:proofErr w:type="spellStart"/>
      <w:r w:rsidR="00645B7C" w:rsidRPr="00B9656D">
        <w:rPr>
          <w:lang w:val="fr-FR"/>
        </w:rPr>
        <w:t>conservare</w:t>
      </w:r>
      <w:proofErr w:type="spellEnd"/>
      <w:r w:rsidR="00645B7C" w:rsidRPr="00B9656D">
        <w:rPr>
          <w:lang w:val="fr-FR"/>
        </w:rPr>
        <w:t xml:space="preserve"> a </w:t>
      </w:r>
      <w:proofErr w:type="spellStart"/>
      <w:r w:rsidR="00645B7C" w:rsidRPr="00B9656D">
        <w:rPr>
          <w:lang w:val="fr-FR"/>
        </w:rPr>
        <w:t>capitalului</w:t>
      </w:r>
      <w:proofErr w:type="spellEnd"/>
      <w:r w:rsidR="00645B7C" w:rsidRPr="00B9656D">
        <w:rPr>
          <w:lang w:val="fr-FR"/>
        </w:rPr>
        <w:t xml:space="preserve">, </w:t>
      </w:r>
      <w:proofErr w:type="spellStart"/>
      <w:r w:rsidR="00DE44ED" w:rsidRPr="00B9656D">
        <w:rPr>
          <w:lang w:val="fr-FR"/>
        </w:rPr>
        <w:t>iar</w:t>
      </w:r>
      <w:proofErr w:type="spellEnd"/>
      <w:r w:rsidR="00DE44ED" w:rsidRPr="00B9656D">
        <w:rPr>
          <w:lang w:val="fr-FR"/>
        </w:rPr>
        <w:t xml:space="preserve"> </w:t>
      </w:r>
      <w:proofErr w:type="spellStart"/>
      <w:r w:rsidR="00DE44ED" w:rsidRPr="00B9656D">
        <w:rPr>
          <w:lang w:val="fr-FR"/>
        </w:rPr>
        <w:t>pentru</w:t>
      </w:r>
      <w:proofErr w:type="spellEnd"/>
      <w:r w:rsidR="00DE44ED" w:rsidRPr="00B9656D">
        <w:rPr>
          <w:lang w:val="fr-FR"/>
        </w:rPr>
        <w:t xml:space="preserve"> </w:t>
      </w:r>
      <w:proofErr w:type="spellStart"/>
      <w:r w:rsidR="00DE44ED" w:rsidRPr="00B9656D">
        <w:rPr>
          <w:lang w:val="fr-FR"/>
        </w:rPr>
        <w:t>celelalte</w:t>
      </w:r>
      <w:proofErr w:type="spellEnd"/>
      <w:r w:rsidR="00DE44ED" w:rsidRPr="00B9656D">
        <w:rPr>
          <w:lang w:val="fr-FR"/>
        </w:rPr>
        <w:t xml:space="preserve"> </w:t>
      </w:r>
      <w:proofErr w:type="spellStart"/>
      <w:r w:rsidR="00DE44ED" w:rsidRPr="00B9656D">
        <w:rPr>
          <w:lang w:val="fr-FR"/>
        </w:rPr>
        <w:t>amortizoare</w:t>
      </w:r>
      <w:proofErr w:type="spellEnd"/>
      <w:r w:rsidR="00DE44ED" w:rsidRPr="00B9656D">
        <w:rPr>
          <w:lang w:val="fr-FR"/>
        </w:rPr>
        <w:t xml:space="preserve"> </w:t>
      </w:r>
      <w:proofErr w:type="spellStart"/>
      <w:r w:rsidR="00DE44ED" w:rsidRPr="00B9656D">
        <w:rPr>
          <w:lang w:val="fr-FR"/>
        </w:rPr>
        <w:t>urmează</w:t>
      </w:r>
      <w:proofErr w:type="spellEnd"/>
      <w:r w:rsidR="00DE44ED" w:rsidRPr="00B9656D">
        <w:rPr>
          <w:lang w:val="fr-FR"/>
        </w:rPr>
        <w:t xml:space="preserve"> a fi </w:t>
      </w:r>
      <w:proofErr w:type="spellStart"/>
      <w:r w:rsidR="00DE44ED" w:rsidRPr="00B9656D">
        <w:rPr>
          <w:lang w:val="fr-FR"/>
        </w:rPr>
        <w:t>parcurse</w:t>
      </w:r>
      <w:proofErr w:type="spellEnd"/>
      <w:r w:rsidR="00DE44ED" w:rsidRPr="00B9656D">
        <w:rPr>
          <w:lang w:val="fr-FR"/>
        </w:rPr>
        <w:t xml:space="preserve"> </w:t>
      </w:r>
      <w:proofErr w:type="spellStart"/>
      <w:r w:rsidR="00DE44ED" w:rsidRPr="00B9656D">
        <w:rPr>
          <w:lang w:val="fr-FR"/>
        </w:rPr>
        <w:t>procedurile</w:t>
      </w:r>
      <w:proofErr w:type="spellEnd"/>
      <w:r w:rsidR="00DE44ED" w:rsidRPr="00B9656D">
        <w:rPr>
          <w:lang w:val="fr-FR"/>
        </w:rPr>
        <w:t xml:space="preserve"> </w:t>
      </w:r>
      <w:proofErr w:type="spellStart"/>
      <w:r w:rsidR="00DE44ED" w:rsidRPr="00B9656D">
        <w:rPr>
          <w:lang w:val="fr-FR"/>
        </w:rPr>
        <w:t>conform</w:t>
      </w:r>
      <w:proofErr w:type="spellEnd"/>
      <w:r w:rsidR="00DE44ED" w:rsidRPr="00B9656D">
        <w:rPr>
          <w:lang w:val="fr-FR"/>
        </w:rPr>
        <w:t xml:space="preserve"> </w:t>
      </w:r>
      <w:proofErr w:type="spellStart"/>
      <w:r w:rsidR="00DE44ED" w:rsidRPr="00B9656D">
        <w:rPr>
          <w:lang w:val="fr-FR"/>
        </w:rPr>
        <w:t>reglementărilor</w:t>
      </w:r>
      <w:proofErr w:type="spellEnd"/>
      <w:r w:rsidR="00DE44ED" w:rsidRPr="00B9656D">
        <w:rPr>
          <w:lang w:val="fr-FR"/>
        </w:rPr>
        <w:t xml:space="preserve"> </w:t>
      </w:r>
      <w:proofErr w:type="spellStart"/>
      <w:r w:rsidR="00DE44ED" w:rsidRPr="00B9656D">
        <w:rPr>
          <w:lang w:val="fr-FR"/>
        </w:rPr>
        <w:t>în</w:t>
      </w:r>
      <w:proofErr w:type="spellEnd"/>
      <w:r w:rsidR="00DE44ED" w:rsidRPr="00B9656D">
        <w:rPr>
          <w:lang w:val="fr-FR"/>
        </w:rPr>
        <w:t xml:space="preserve"> </w:t>
      </w:r>
      <w:proofErr w:type="spellStart"/>
      <w:r w:rsidR="00DE44ED" w:rsidRPr="00B9656D">
        <w:rPr>
          <w:lang w:val="fr-FR"/>
        </w:rPr>
        <w:t>vigoare</w:t>
      </w:r>
      <w:proofErr w:type="spellEnd"/>
      <w:r w:rsidR="00AC2B56">
        <w:rPr>
          <w:lang w:val="ro-RO"/>
        </w:rPr>
        <w:t>.</w:t>
      </w:r>
    </w:p>
    <w:p w:rsidR="00026596" w:rsidRPr="00B9656D" w:rsidRDefault="0064107F" w:rsidP="00B62C8A">
      <w:pPr>
        <w:pStyle w:val="ln2acttitlu"/>
        <w:jc w:val="both"/>
        <w:rPr>
          <w:iCs/>
          <w:sz w:val="24"/>
          <w:szCs w:val="24"/>
          <w:lang w:val="fr-FR"/>
        </w:rPr>
      </w:pPr>
      <w:proofErr w:type="spellStart"/>
      <w:r w:rsidRPr="00B9656D">
        <w:rPr>
          <w:sz w:val="24"/>
          <w:szCs w:val="24"/>
          <w:lang w:val="fr-FR"/>
        </w:rPr>
        <w:t>Având</w:t>
      </w:r>
      <w:proofErr w:type="spellEnd"/>
      <w:r w:rsidRPr="00B9656D">
        <w:rPr>
          <w:sz w:val="24"/>
          <w:szCs w:val="24"/>
          <w:lang w:val="fr-FR"/>
        </w:rPr>
        <w:t xml:space="preserve"> </w:t>
      </w:r>
      <w:proofErr w:type="spellStart"/>
      <w:r w:rsidRPr="00B9656D">
        <w:rPr>
          <w:sz w:val="24"/>
          <w:szCs w:val="24"/>
          <w:lang w:val="fr-FR"/>
        </w:rPr>
        <w:t>în</w:t>
      </w:r>
      <w:proofErr w:type="spellEnd"/>
      <w:r w:rsidRPr="00B9656D">
        <w:rPr>
          <w:sz w:val="24"/>
          <w:szCs w:val="24"/>
          <w:lang w:val="fr-FR"/>
        </w:rPr>
        <w:t xml:space="preserve"> </w:t>
      </w:r>
      <w:proofErr w:type="spellStart"/>
      <w:r w:rsidRPr="00B9656D">
        <w:rPr>
          <w:sz w:val="24"/>
          <w:szCs w:val="24"/>
          <w:lang w:val="fr-FR"/>
        </w:rPr>
        <w:t>vedere</w:t>
      </w:r>
      <w:proofErr w:type="spellEnd"/>
      <w:r w:rsidRPr="00B9656D">
        <w:rPr>
          <w:sz w:val="24"/>
          <w:szCs w:val="24"/>
          <w:lang w:val="fr-FR"/>
        </w:rPr>
        <w:t xml:space="preserve"> </w:t>
      </w:r>
      <w:proofErr w:type="spellStart"/>
      <w:r w:rsidRPr="00B9656D">
        <w:rPr>
          <w:sz w:val="24"/>
          <w:szCs w:val="24"/>
          <w:lang w:val="fr-FR"/>
        </w:rPr>
        <w:t>obligația</w:t>
      </w:r>
      <w:proofErr w:type="spellEnd"/>
      <w:r w:rsidRPr="00B9656D">
        <w:rPr>
          <w:sz w:val="24"/>
          <w:szCs w:val="24"/>
          <w:lang w:val="fr-FR"/>
        </w:rPr>
        <w:t xml:space="preserve"> </w:t>
      </w:r>
      <w:proofErr w:type="spellStart"/>
      <w:r w:rsidRPr="00B9656D">
        <w:rPr>
          <w:sz w:val="24"/>
          <w:szCs w:val="24"/>
          <w:lang w:val="fr-FR"/>
        </w:rPr>
        <w:t>derivată</w:t>
      </w:r>
      <w:proofErr w:type="spellEnd"/>
      <w:r w:rsidRPr="00B9656D">
        <w:rPr>
          <w:sz w:val="24"/>
          <w:szCs w:val="24"/>
          <w:lang w:val="fr-FR"/>
        </w:rPr>
        <w:t xml:space="preserve"> </w:t>
      </w:r>
      <w:proofErr w:type="spellStart"/>
      <w:r w:rsidRPr="00B9656D">
        <w:rPr>
          <w:sz w:val="24"/>
          <w:szCs w:val="24"/>
          <w:lang w:val="fr-FR"/>
        </w:rPr>
        <w:t>din</w:t>
      </w:r>
      <w:proofErr w:type="spellEnd"/>
      <w:r w:rsidRPr="00B9656D">
        <w:rPr>
          <w:sz w:val="24"/>
          <w:szCs w:val="24"/>
          <w:lang w:val="fr-FR"/>
        </w:rPr>
        <w:t xml:space="preserve">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Directiva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2013/36/UE a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Parlamentului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European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și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a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Consiliului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cu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privire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la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accesul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la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activitatea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instituțiilor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de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credit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și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supravegherea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prudențială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a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instituțiilor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de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credit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și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a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firmelor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de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investiții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, de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modificare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a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Directivei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2002/87/CE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și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de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abrogare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a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Directivelor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2006/48/CE </w:t>
      </w:r>
      <w:proofErr w:type="spellStart"/>
      <w:r w:rsidR="00916EC2" w:rsidRPr="00B9656D">
        <w:rPr>
          <w:i/>
          <w:color w:val="auto"/>
          <w:sz w:val="24"/>
          <w:szCs w:val="24"/>
          <w:lang w:val="fr-FR"/>
        </w:rPr>
        <w:t>și</w:t>
      </w:r>
      <w:proofErr w:type="spellEnd"/>
      <w:r w:rsidR="00916EC2" w:rsidRPr="00B9656D">
        <w:rPr>
          <w:i/>
          <w:color w:val="auto"/>
          <w:sz w:val="24"/>
          <w:szCs w:val="24"/>
          <w:lang w:val="fr-FR"/>
        </w:rPr>
        <w:t xml:space="preserve"> 2006/49/CE</w:t>
      </w:r>
      <w:r w:rsidR="00916EC2" w:rsidRPr="00B9656D">
        <w:rPr>
          <w:color w:val="auto"/>
          <w:sz w:val="24"/>
          <w:szCs w:val="24"/>
          <w:lang w:val="fr-FR"/>
        </w:rPr>
        <w:t>,</w:t>
      </w:r>
      <w:r w:rsidRPr="00B9656D">
        <w:rPr>
          <w:sz w:val="24"/>
          <w:szCs w:val="24"/>
          <w:lang w:val="fr-FR"/>
        </w:rPr>
        <w:t xml:space="preserve"> </w:t>
      </w:r>
      <w:proofErr w:type="spellStart"/>
      <w:r w:rsidRPr="00B9656D">
        <w:rPr>
          <w:sz w:val="24"/>
          <w:szCs w:val="24"/>
          <w:lang w:val="fr-FR"/>
        </w:rPr>
        <w:t>transpusă</w:t>
      </w:r>
      <w:proofErr w:type="spellEnd"/>
      <w:r w:rsidRPr="00B9656D">
        <w:rPr>
          <w:sz w:val="24"/>
          <w:szCs w:val="24"/>
          <w:lang w:val="fr-FR"/>
        </w:rPr>
        <w:t xml:space="preserve"> </w:t>
      </w:r>
      <w:proofErr w:type="spellStart"/>
      <w:r w:rsidRPr="00B9656D">
        <w:rPr>
          <w:sz w:val="24"/>
          <w:szCs w:val="24"/>
          <w:lang w:val="fr-FR"/>
        </w:rPr>
        <w:t>în</w:t>
      </w:r>
      <w:proofErr w:type="spellEnd"/>
      <w:r w:rsidRPr="00B9656D">
        <w:rPr>
          <w:sz w:val="24"/>
          <w:szCs w:val="24"/>
          <w:lang w:val="fr-FR"/>
        </w:rPr>
        <w:t xml:space="preserve"> </w:t>
      </w:r>
      <w:proofErr w:type="spellStart"/>
      <w:r w:rsidRPr="00B9656D">
        <w:rPr>
          <w:sz w:val="24"/>
          <w:szCs w:val="24"/>
          <w:lang w:val="fr-FR"/>
        </w:rPr>
        <w:t>legislația</w:t>
      </w:r>
      <w:proofErr w:type="spellEnd"/>
      <w:r w:rsidRPr="00B9656D">
        <w:rPr>
          <w:sz w:val="24"/>
          <w:szCs w:val="24"/>
          <w:lang w:val="fr-FR"/>
        </w:rPr>
        <w:t xml:space="preserve"> </w:t>
      </w:r>
      <w:proofErr w:type="spellStart"/>
      <w:r w:rsidRPr="00B9656D">
        <w:rPr>
          <w:sz w:val="24"/>
          <w:szCs w:val="24"/>
          <w:lang w:val="fr-FR"/>
        </w:rPr>
        <w:t>națională</w:t>
      </w:r>
      <w:proofErr w:type="spellEnd"/>
      <w:r w:rsidRPr="00B9656D">
        <w:rPr>
          <w:sz w:val="24"/>
          <w:szCs w:val="24"/>
          <w:lang w:val="fr-FR"/>
        </w:rPr>
        <w:t xml:space="preserve"> </w:t>
      </w:r>
      <w:proofErr w:type="spellStart"/>
      <w:r w:rsidRPr="00B9656D">
        <w:rPr>
          <w:sz w:val="24"/>
          <w:szCs w:val="24"/>
          <w:lang w:val="fr-FR"/>
        </w:rPr>
        <w:t>prin</w:t>
      </w:r>
      <w:proofErr w:type="spellEnd"/>
      <w:r w:rsidRPr="00B9656D">
        <w:rPr>
          <w:sz w:val="24"/>
          <w:szCs w:val="24"/>
          <w:lang w:val="fr-FR"/>
        </w:rPr>
        <w:t xml:space="preserve"> </w:t>
      </w:r>
      <w:proofErr w:type="spellStart"/>
      <w:r w:rsidR="00026596" w:rsidRPr="00B9656D">
        <w:rPr>
          <w:i/>
          <w:sz w:val="24"/>
          <w:szCs w:val="24"/>
          <w:lang w:val="fr-FR"/>
        </w:rPr>
        <w:t>Regulamentul</w:t>
      </w:r>
      <w:proofErr w:type="spellEnd"/>
      <w:r w:rsidR="00026596" w:rsidRPr="00B9656D">
        <w:rPr>
          <w:i/>
          <w:sz w:val="24"/>
          <w:szCs w:val="24"/>
          <w:lang w:val="fr-FR"/>
        </w:rPr>
        <w:t xml:space="preserve"> BNR nr. 5/2013 </w:t>
      </w:r>
      <w:proofErr w:type="spellStart"/>
      <w:r w:rsidR="00026596" w:rsidRPr="00B9656D">
        <w:rPr>
          <w:i/>
          <w:sz w:val="24"/>
          <w:szCs w:val="24"/>
          <w:lang w:val="fr-FR"/>
        </w:rPr>
        <w:t>privind</w:t>
      </w:r>
      <w:proofErr w:type="spellEnd"/>
      <w:r w:rsidR="00026596" w:rsidRPr="00B9656D">
        <w:rPr>
          <w:i/>
          <w:sz w:val="24"/>
          <w:szCs w:val="24"/>
          <w:lang w:val="fr-FR"/>
        </w:rPr>
        <w:t xml:space="preserve"> </w:t>
      </w:r>
      <w:proofErr w:type="spellStart"/>
      <w:r w:rsidR="00026596" w:rsidRPr="00B9656D">
        <w:rPr>
          <w:i/>
          <w:sz w:val="24"/>
          <w:szCs w:val="24"/>
          <w:lang w:val="fr-FR"/>
        </w:rPr>
        <w:t>cerinţe</w:t>
      </w:r>
      <w:proofErr w:type="spellEnd"/>
      <w:r w:rsidR="00026596" w:rsidRPr="00B9656D">
        <w:rPr>
          <w:i/>
          <w:sz w:val="24"/>
          <w:szCs w:val="24"/>
          <w:lang w:val="fr-FR"/>
        </w:rPr>
        <w:t xml:space="preserve"> </w:t>
      </w:r>
      <w:proofErr w:type="spellStart"/>
      <w:r w:rsidR="00026596" w:rsidRPr="00B9656D">
        <w:rPr>
          <w:i/>
          <w:sz w:val="24"/>
          <w:szCs w:val="24"/>
          <w:lang w:val="fr-FR"/>
        </w:rPr>
        <w:t>prudenţiale</w:t>
      </w:r>
      <w:proofErr w:type="spellEnd"/>
      <w:r w:rsidR="00026596" w:rsidRPr="00B9656D">
        <w:rPr>
          <w:i/>
          <w:sz w:val="24"/>
          <w:szCs w:val="24"/>
          <w:lang w:val="fr-FR"/>
        </w:rPr>
        <w:t xml:space="preserve"> </w:t>
      </w:r>
      <w:proofErr w:type="spellStart"/>
      <w:r w:rsidR="00026596" w:rsidRPr="00B9656D">
        <w:rPr>
          <w:i/>
          <w:sz w:val="24"/>
          <w:szCs w:val="24"/>
          <w:lang w:val="fr-FR"/>
        </w:rPr>
        <w:t>pentru</w:t>
      </w:r>
      <w:proofErr w:type="spellEnd"/>
      <w:r w:rsidR="00026596" w:rsidRPr="00B9656D">
        <w:rPr>
          <w:i/>
          <w:sz w:val="24"/>
          <w:szCs w:val="24"/>
          <w:lang w:val="fr-FR"/>
        </w:rPr>
        <w:t xml:space="preserve"> </w:t>
      </w:r>
      <w:proofErr w:type="spellStart"/>
      <w:r w:rsidR="00026596" w:rsidRPr="00B9656D">
        <w:rPr>
          <w:i/>
          <w:sz w:val="24"/>
          <w:szCs w:val="24"/>
          <w:lang w:val="fr-FR"/>
        </w:rPr>
        <w:t>instituţiile</w:t>
      </w:r>
      <w:proofErr w:type="spellEnd"/>
      <w:r w:rsidR="00026596" w:rsidRPr="00B9656D">
        <w:rPr>
          <w:i/>
          <w:sz w:val="24"/>
          <w:szCs w:val="24"/>
          <w:lang w:val="fr-FR"/>
        </w:rPr>
        <w:t xml:space="preserve"> de </w:t>
      </w:r>
      <w:proofErr w:type="spellStart"/>
      <w:r w:rsidR="00026596" w:rsidRPr="00B9656D">
        <w:rPr>
          <w:i/>
          <w:sz w:val="24"/>
          <w:szCs w:val="24"/>
          <w:lang w:val="fr-FR"/>
        </w:rPr>
        <w:t>credit</w:t>
      </w:r>
      <w:proofErr w:type="spellEnd"/>
      <w:r w:rsidR="00026596" w:rsidRPr="00B9656D">
        <w:rPr>
          <w:sz w:val="24"/>
          <w:szCs w:val="24"/>
          <w:lang w:val="fr-FR"/>
        </w:rPr>
        <w:t xml:space="preserve"> </w:t>
      </w:r>
      <w:proofErr w:type="spellStart"/>
      <w:r w:rsidR="00026596" w:rsidRPr="00B9656D">
        <w:rPr>
          <w:sz w:val="24"/>
          <w:szCs w:val="24"/>
          <w:lang w:val="fr-FR"/>
        </w:rPr>
        <w:t>și</w:t>
      </w:r>
      <w:proofErr w:type="spellEnd"/>
      <w:r w:rsidR="00026596" w:rsidRPr="00B9656D">
        <w:rPr>
          <w:sz w:val="24"/>
          <w:szCs w:val="24"/>
          <w:lang w:val="fr-FR"/>
        </w:rPr>
        <w:t xml:space="preserve"> </w:t>
      </w:r>
      <w:proofErr w:type="spellStart"/>
      <w:r w:rsidR="00026596" w:rsidRPr="00B9656D">
        <w:rPr>
          <w:i/>
          <w:sz w:val="24"/>
          <w:szCs w:val="24"/>
          <w:lang w:val="fr-FR"/>
        </w:rPr>
        <w:t>Ordonanţa</w:t>
      </w:r>
      <w:proofErr w:type="spellEnd"/>
      <w:r w:rsidR="00026596" w:rsidRPr="00B9656D">
        <w:rPr>
          <w:i/>
          <w:sz w:val="24"/>
          <w:szCs w:val="24"/>
          <w:lang w:val="fr-FR"/>
        </w:rPr>
        <w:t xml:space="preserve"> </w:t>
      </w:r>
      <w:proofErr w:type="gramStart"/>
      <w:r w:rsidR="00026596" w:rsidRPr="00B9656D">
        <w:rPr>
          <w:i/>
          <w:sz w:val="24"/>
          <w:szCs w:val="24"/>
          <w:lang w:val="fr-FR"/>
        </w:rPr>
        <w:t xml:space="preserve">de </w:t>
      </w:r>
      <w:proofErr w:type="spellStart"/>
      <w:r w:rsidR="00026596" w:rsidRPr="00B9656D">
        <w:rPr>
          <w:i/>
          <w:sz w:val="24"/>
          <w:szCs w:val="24"/>
          <w:lang w:val="fr-FR"/>
        </w:rPr>
        <w:t>urgenţă</w:t>
      </w:r>
      <w:proofErr w:type="spellEnd"/>
      <w:proofErr w:type="gramEnd"/>
      <w:r w:rsidR="00026596" w:rsidRPr="00B9656D">
        <w:rPr>
          <w:i/>
          <w:sz w:val="24"/>
          <w:szCs w:val="24"/>
          <w:lang w:val="fr-FR"/>
        </w:rPr>
        <w:t xml:space="preserve"> nr. 99 </w:t>
      </w:r>
      <w:proofErr w:type="spellStart"/>
      <w:r w:rsidR="00026596" w:rsidRPr="00B9656D">
        <w:rPr>
          <w:i/>
          <w:sz w:val="24"/>
          <w:szCs w:val="24"/>
          <w:lang w:val="fr-FR"/>
        </w:rPr>
        <w:t>din</w:t>
      </w:r>
      <w:proofErr w:type="spellEnd"/>
      <w:r w:rsidR="00026596" w:rsidRPr="00B9656D">
        <w:rPr>
          <w:i/>
          <w:sz w:val="24"/>
          <w:szCs w:val="24"/>
          <w:lang w:val="fr-FR"/>
        </w:rPr>
        <w:t xml:space="preserve"> 06/12/2006 </w:t>
      </w:r>
      <w:proofErr w:type="spellStart"/>
      <w:r w:rsidR="00026596" w:rsidRPr="00B9656D">
        <w:rPr>
          <w:i/>
          <w:sz w:val="24"/>
          <w:szCs w:val="24"/>
          <w:lang w:val="fr-FR"/>
        </w:rPr>
        <w:t>privind</w:t>
      </w:r>
      <w:proofErr w:type="spellEnd"/>
      <w:r w:rsidR="00026596" w:rsidRPr="00B9656D">
        <w:rPr>
          <w:i/>
          <w:sz w:val="24"/>
          <w:szCs w:val="24"/>
          <w:lang w:val="fr-FR"/>
        </w:rPr>
        <w:t xml:space="preserve"> </w:t>
      </w:r>
      <w:proofErr w:type="spellStart"/>
      <w:r w:rsidR="00026596" w:rsidRPr="00B9656D">
        <w:rPr>
          <w:i/>
          <w:sz w:val="24"/>
          <w:szCs w:val="24"/>
          <w:lang w:val="fr-FR"/>
        </w:rPr>
        <w:t>instituţiile</w:t>
      </w:r>
      <w:proofErr w:type="spellEnd"/>
      <w:r w:rsidR="00026596" w:rsidRPr="00B9656D">
        <w:rPr>
          <w:i/>
          <w:sz w:val="24"/>
          <w:szCs w:val="24"/>
          <w:lang w:val="fr-FR"/>
        </w:rPr>
        <w:t xml:space="preserve"> de </w:t>
      </w:r>
      <w:proofErr w:type="spellStart"/>
      <w:r w:rsidR="00026596" w:rsidRPr="00B9656D">
        <w:rPr>
          <w:i/>
          <w:sz w:val="24"/>
          <w:szCs w:val="24"/>
          <w:lang w:val="fr-FR"/>
        </w:rPr>
        <w:t>credit</w:t>
      </w:r>
      <w:proofErr w:type="spellEnd"/>
      <w:r w:rsidR="00026596" w:rsidRPr="00B9656D">
        <w:rPr>
          <w:i/>
          <w:sz w:val="24"/>
          <w:szCs w:val="24"/>
          <w:lang w:val="fr-FR"/>
        </w:rPr>
        <w:t xml:space="preserve"> </w:t>
      </w:r>
      <w:proofErr w:type="spellStart"/>
      <w:r w:rsidR="00026596" w:rsidRPr="00B9656D">
        <w:rPr>
          <w:i/>
          <w:sz w:val="24"/>
          <w:szCs w:val="24"/>
          <w:lang w:val="fr-FR"/>
        </w:rPr>
        <w:t>şi</w:t>
      </w:r>
      <w:proofErr w:type="spellEnd"/>
      <w:r w:rsidR="00026596" w:rsidRPr="00B9656D">
        <w:rPr>
          <w:i/>
          <w:sz w:val="24"/>
          <w:szCs w:val="24"/>
          <w:lang w:val="fr-FR"/>
        </w:rPr>
        <w:t xml:space="preserve"> </w:t>
      </w:r>
      <w:proofErr w:type="spellStart"/>
      <w:r w:rsidR="00026596" w:rsidRPr="00B9656D">
        <w:rPr>
          <w:i/>
          <w:sz w:val="24"/>
          <w:szCs w:val="24"/>
          <w:lang w:val="fr-FR"/>
        </w:rPr>
        <w:t>adecvarea</w:t>
      </w:r>
      <w:proofErr w:type="spellEnd"/>
      <w:r w:rsidR="00026596" w:rsidRPr="00B9656D">
        <w:rPr>
          <w:i/>
          <w:sz w:val="24"/>
          <w:szCs w:val="24"/>
          <w:lang w:val="fr-FR"/>
        </w:rPr>
        <w:t xml:space="preserve"> </w:t>
      </w:r>
      <w:proofErr w:type="spellStart"/>
      <w:r w:rsidR="00026596" w:rsidRPr="00B9656D">
        <w:rPr>
          <w:i/>
          <w:sz w:val="24"/>
          <w:szCs w:val="24"/>
          <w:lang w:val="fr-FR"/>
        </w:rPr>
        <w:t>capitalului</w:t>
      </w:r>
      <w:proofErr w:type="spellEnd"/>
      <w:r w:rsidRPr="00B9656D">
        <w:rPr>
          <w:sz w:val="24"/>
          <w:szCs w:val="24"/>
          <w:lang w:val="fr-FR"/>
        </w:rPr>
        <w:t>,</w:t>
      </w:r>
      <w:r w:rsidRPr="00026596">
        <w:rPr>
          <w:i/>
          <w:iCs/>
          <w:sz w:val="24"/>
          <w:szCs w:val="24"/>
        </w:rPr>
        <w:t xml:space="preserve"> </w:t>
      </w:r>
      <w:r w:rsidR="00375232" w:rsidRPr="00B62C8A">
        <w:rPr>
          <w:iCs/>
          <w:sz w:val="24"/>
          <w:szCs w:val="24"/>
        </w:rPr>
        <w:t>de a activa amortizorul de conservare a capitalului și amortizorul anticiclic de capital</w:t>
      </w:r>
      <w:r w:rsidR="00B62C8A">
        <w:rPr>
          <w:iCs/>
          <w:sz w:val="24"/>
          <w:szCs w:val="24"/>
        </w:rPr>
        <w:t>,</w:t>
      </w:r>
      <w:r w:rsidR="00375232">
        <w:rPr>
          <w:i/>
          <w:iCs/>
          <w:sz w:val="24"/>
          <w:szCs w:val="24"/>
        </w:rPr>
        <w:t xml:space="preserve"> </w:t>
      </w:r>
      <w:r w:rsidR="00375232" w:rsidRPr="00026596">
        <w:rPr>
          <w:iCs/>
          <w:sz w:val="24"/>
          <w:szCs w:val="24"/>
        </w:rPr>
        <w:t>începând cu 1 ianuarie 2016</w:t>
      </w:r>
      <w:r w:rsidR="00375232">
        <w:rPr>
          <w:iCs/>
          <w:sz w:val="24"/>
          <w:szCs w:val="24"/>
        </w:rPr>
        <w:t xml:space="preserve">, s-a </w:t>
      </w:r>
      <w:r w:rsidR="003D6AE6">
        <w:rPr>
          <w:iCs/>
          <w:sz w:val="24"/>
          <w:szCs w:val="24"/>
        </w:rPr>
        <w:t>recomandat</w:t>
      </w:r>
      <w:r w:rsidR="00375232">
        <w:rPr>
          <w:iCs/>
          <w:sz w:val="24"/>
          <w:szCs w:val="24"/>
        </w:rPr>
        <w:t xml:space="preserve"> ca aceste amortizoare să fie implementate </w:t>
      </w:r>
      <w:r w:rsidR="00B62C8A">
        <w:rPr>
          <w:iCs/>
          <w:sz w:val="24"/>
          <w:szCs w:val="24"/>
        </w:rPr>
        <w:t xml:space="preserve">la niveluri minime, </w:t>
      </w:r>
      <w:r w:rsidR="00375232">
        <w:rPr>
          <w:iCs/>
          <w:sz w:val="24"/>
          <w:szCs w:val="24"/>
        </w:rPr>
        <w:t>după cum urmează</w:t>
      </w:r>
      <w:r w:rsidR="00375232" w:rsidRPr="00B9656D">
        <w:rPr>
          <w:iCs/>
          <w:sz w:val="24"/>
          <w:szCs w:val="24"/>
          <w:lang w:val="fr-FR"/>
        </w:rPr>
        <w:t>:</w:t>
      </w:r>
    </w:p>
    <w:p w:rsidR="00375232" w:rsidRDefault="00916EC2" w:rsidP="00B62C8A">
      <w:pPr>
        <w:pStyle w:val="ln2acttitlu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026596">
        <w:rPr>
          <w:sz w:val="24"/>
          <w:szCs w:val="24"/>
        </w:rPr>
        <w:t xml:space="preserve">amortizorul de conservare a capitalului </w:t>
      </w:r>
      <w:r w:rsidR="00375232">
        <w:rPr>
          <w:sz w:val="24"/>
          <w:szCs w:val="24"/>
        </w:rPr>
        <w:t xml:space="preserve">se va introduce, </w:t>
      </w:r>
      <w:r w:rsidR="00375232" w:rsidRPr="00375232">
        <w:rPr>
          <w:iCs/>
          <w:sz w:val="24"/>
          <w:szCs w:val="24"/>
        </w:rPr>
        <w:t>începând cu 1 ianuarie 2016</w:t>
      </w:r>
      <w:r w:rsidR="00375232">
        <w:rPr>
          <w:iCs/>
          <w:sz w:val="24"/>
          <w:szCs w:val="24"/>
        </w:rPr>
        <w:t xml:space="preserve">, </w:t>
      </w:r>
      <w:r w:rsidR="00375232" w:rsidRPr="00FB1C06">
        <w:rPr>
          <w:sz w:val="24"/>
          <w:szCs w:val="24"/>
        </w:rPr>
        <w:t>în trepte procentuale de 0,625% pe an</w:t>
      </w:r>
      <w:r w:rsidR="00375232" w:rsidRPr="00375232">
        <w:rPr>
          <w:rFonts w:eastAsia="Times New Roman"/>
          <w:sz w:val="24"/>
          <w:szCs w:val="24"/>
        </w:rPr>
        <w:t xml:space="preserve"> din valoarea totală a expunerilor ponderate la risc ale instituției</w:t>
      </w:r>
      <w:r w:rsidR="00375232" w:rsidRPr="00FB1C06">
        <w:rPr>
          <w:sz w:val="24"/>
          <w:szCs w:val="24"/>
        </w:rPr>
        <w:t xml:space="preserve">, de-a lungul perioadei 2016-2019, </w:t>
      </w:r>
      <w:r w:rsidR="00375232">
        <w:rPr>
          <w:sz w:val="24"/>
          <w:szCs w:val="24"/>
        </w:rPr>
        <w:t xml:space="preserve">ajungând la nivelul impus de 2,5%, </w:t>
      </w:r>
      <w:r w:rsidR="00375232">
        <w:rPr>
          <w:rFonts w:eastAsia="Times New Roman"/>
          <w:color w:val="000000"/>
          <w:sz w:val="24"/>
          <w:szCs w:val="24"/>
        </w:rPr>
        <w:t>astfel</w:t>
      </w:r>
      <w:r w:rsidR="00375232" w:rsidRPr="00B9656D">
        <w:rPr>
          <w:rFonts w:eastAsia="Times New Roman"/>
          <w:color w:val="000000"/>
          <w:sz w:val="24"/>
          <w:szCs w:val="24"/>
          <w:lang w:val="fr-FR"/>
        </w:rPr>
        <w:t>:</w:t>
      </w:r>
    </w:p>
    <w:p w:rsidR="00916EC2" w:rsidRPr="00026596" w:rsidRDefault="00916EC2" w:rsidP="0064107F">
      <w:pPr>
        <w:pStyle w:val="ln2acttitlu"/>
        <w:numPr>
          <w:ilvl w:val="0"/>
          <w:numId w:val="5"/>
        </w:numPr>
        <w:jc w:val="both"/>
        <w:rPr>
          <w:sz w:val="24"/>
          <w:szCs w:val="24"/>
        </w:rPr>
      </w:pPr>
      <w:r w:rsidRPr="00026596">
        <w:rPr>
          <w:sz w:val="24"/>
          <w:szCs w:val="24"/>
        </w:rPr>
        <w:t>de la 1 ianuarie 2016 – 0,625%</w:t>
      </w:r>
    </w:p>
    <w:p w:rsidR="00916EC2" w:rsidRPr="00026596" w:rsidRDefault="00916EC2" w:rsidP="0064107F">
      <w:pPr>
        <w:pStyle w:val="NormalWeb"/>
        <w:numPr>
          <w:ilvl w:val="0"/>
          <w:numId w:val="5"/>
        </w:numPr>
        <w:jc w:val="both"/>
        <w:rPr>
          <w:lang w:val="ro-RO"/>
        </w:rPr>
      </w:pPr>
      <w:r w:rsidRPr="00026596">
        <w:rPr>
          <w:lang w:val="ro-RO"/>
        </w:rPr>
        <w:t>de la 1 ianuarie 2017 –</w:t>
      </w:r>
      <w:r w:rsidR="00026596">
        <w:rPr>
          <w:lang w:val="ro-RO"/>
        </w:rPr>
        <w:t>1,25%</w:t>
      </w:r>
    </w:p>
    <w:p w:rsidR="00916EC2" w:rsidRPr="00026596" w:rsidRDefault="00916EC2" w:rsidP="00916EC2">
      <w:pPr>
        <w:pStyle w:val="NormalWeb"/>
        <w:numPr>
          <w:ilvl w:val="0"/>
          <w:numId w:val="5"/>
        </w:numPr>
        <w:jc w:val="both"/>
        <w:rPr>
          <w:lang w:val="ro-RO"/>
        </w:rPr>
      </w:pPr>
      <w:r w:rsidRPr="00026596">
        <w:rPr>
          <w:lang w:val="ro-RO"/>
        </w:rPr>
        <w:t>de la 1 ianuarie 2018 –1,875%</w:t>
      </w:r>
    </w:p>
    <w:p w:rsidR="00916EC2" w:rsidRDefault="00916EC2" w:rsidP="00916EC2">
      <w:pPr>
        <w:pStyle w:val="NormalWeb"/>
        <w:numPr>
          <w:ilvl w:val="0"/>
          <w:numId w:val="5"/>
        </w:numPr>
        <w:jc w:val="both"/>
        <w:rPr>
          <w:lang w:val="ro-RO"/>
        </w:rPr>
      </w:pPr>
      <w:r w:rsidRPr="00026596">
        <w:rPr>
          <w:lang w:val="ro-RO"/>
        </w:rPr>
        <w:t>de la 1 ianuarie 201</w:t>
      </w:r>
      <w:r w:rsidR="00BF73E4">
        <w:rPr>
          <w:lang w:val="ro-RO"/>
        </w:rPr>
        <w:t>9</w:t>
      </w:r>
      <w:r w:rsidRPr="00026596">
        <w:rPr>
          <w:lang w:val="ro-RO"/>
        </w:rPr>
        <w:t xml:space="preserve"> –</w:t>
      </w:r>
      <w:r w:rsidR="00026596">
        <w:rPr>
          <w:lang w:val="ro-RO"/>
        </w:rPr>
        <w:t xml:space="preserve"> </w:t>
      </w:r>
      <w:r w:rsidRPr="00026596">
        <w:rPr>
          <w:lang w:val="ro-RO"/>
        </w:rPr>
        <w:t>2,5%</w:t>
      </w:r>
    </w:p>
    <w:p w:rsidR="00810D65" w:rsidRPr="00810D65" w:rsidRDefault="00810D65" w:rsidP="00B62C8A">
      <w:pPr>
        <w:pStyle w:val="ln2acttitlu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AD03EC">
        <w:rPr>
          <w:sz w:val="24"/>
          <w:szCs w:val="24"/>
        </w:rPr>
        <w:t>amortizorul anticiclic de capital</w:t>
      </w:r>
      <w:r>
        <w:rPr>
          <w:sz w:val="24"/>
          <w:szCs w:val="24"/>
        </w:rPr>
        <w:t xml:space="preserve"> nu va fi impus </w:t>
      </w:r>
      <w:r w:rsidRPr="00AD03EC">
        <w:rPr>
          <w:sz w:val="24"/>
          <w:szCs w:val="24"/>
        </w:rPr>
        <w:t>instituţiilor de credit</w:t>
      </w:r>
      <w:r>
        <w:rPr>
          <w:sz w:val="24"/>
          <w:szCs w:val="24"/>
        </w:rPr>
        <w:t xml:space="preserve"> cu </w:t>
      </w:r>
      <w:r w:rsidRPr="00AD03EC">
        <w:rPr>
          <w:sz w:val="24"/>
          <w:szCs w:val="24"/>
        </w:rPr>
        <w:t>o rată a mai mare de 0 la sută, începând cu 1 ianuarie 2016</w:t>
      </w:r>
      <w:r w:rsidR="00B62C8A">
        <w:rPr>
          <w:sz w:val="24"/>
          <w:szCs w:val="24"/>
        </w:rPr>
        <w:t>.</w:t>
      </w:r>
    </w:p>
    <w:p w:rsidR="00026596" w:rsidRDefault="00810D65" w:rsidP="00026596">
      <w:pPr>
        <w:pStyle w:val="NormalWeb"/>
        <w:jc w:val="both"/>
        <w:rPr>
          <w:lang w:val="ro-RO"/>
        </w:rPr>
      </w:pPr>
      <w:r>
        <w:rPr>
          <w:lang w:val="ro-RO"/>
        </w:rPr>
        <w:t>Cerințele de capital pentru instituțiile de credit existent</w:t>
      </w:r>
      <w:r w:rsidR="003D6AE6">
        <w:rPr>
          <w:lang w:val="ro-RO"/>
        </w:rPr>
        <w:t>e</w:t>
      </w:r>
      <w:r>
        <w:rPr>
          <w:lang w:val="ro-RO"/>
        </w:rPr>
        <w:t xml:space="preserve"> în prezent </w:t>
      </w:r>
      <w:r w:rsidR="00B62C8A">
        <w:rPr>
          <w:lang w:val="ro-RO"/>
        </w:rPr>
        <w:t xml:space="preserve">referitoare la </w:t>
      </w:r>
      <w:r w:rsidRPr="00B62C8A">
        <w:rPr>
          <w:bCs/>
          <w:lang w:val="ro-RO"/>
        </w:rPr>
        <w:t xml:space="preserve">nivelul minim reglementat al ratei fondurilor proprii de nivel 1 de bază de </w:t>
      </w:r>
      <w:r>
        <w:rPr>
          <w:lang w:val="ro-RO"/>
        </w:rPr>
        <w:t xml:space="preserve">4,5% din </w:t>
      </w:r>
      <w:r w:rsidRPr="00375232">
        <w:rPr>
          <w:lang w:val="ro-RO"/>
        </w:rPr>
        <w:t>valoarea totală a expunerilor ponderate la risc ale instituției</w:t>
      </w:r>
      <w:r>
        <w:rPr>
          <w:lang w:val="ro-RO"/>
        </w:rPr>
        <w:t xml:space="preserve"> de credit, </w:t>
      </w:r>
      <w:r w:rsidR="00B62C8A">
        <w:rPr>
          <w:lang w:val="ro-RO"/>
        </w:rPr>
        <w:t>se v</w:t>
      </w:r>
      <w:r w:rsidR="003D6AE6">
        <w:rPr>
          <w:lang w:val="ro-RO"/>
        </w:rPr>
        <w:t>or</w:t>
      </w:r>
      <w:r w:rsidR="00B62C8A">
        <w:rPr>
          <w:lang w:val="ro-RO"/>
        </w:rPr>
        <w:t xml:space="preserve"> modifica, ca urmare a introducerii acestor amortizoare, astfel:</w:t>
      </w:r>
    </w:p>
    <w:p w:rsidR="00B62C8A" w:rsidRPr="00026596" w:rsidRDefault="00B62C8A" w:rsidP="00B62C8A">
      <w:pPr>
        <w:pStyle w:val="ln2acttitlu"/>
        <w:numPr>
          <w:ilvl w:val="0"/>
          <w:numId w:val="5"/>
        </w:numPr>
        <w:jc w:val="both"/>
        <w:rPr>
          <w:sz w:val="24"/>
          <w:szCs w:val="24"/>
        </w:rPr>
      </w:pPr>
      <w:r w:rsidRPr="00026596">
        <w:rPr>
          <w:sz w:val="24"/>
          <w:szCs w:val="24"/>
        </w:rPr>
        <w:t xml:space="preserve">de la 1 ianuarie 2016 – </w:t>
      </w:r>
      <w:r>
        <w:rPr>
          <w:sz w:val="24"/>
          <w:szCs w:val="24"/>
        </w:rPr>
        <w:t>5</w:t>
      </w:r>
      <w:r w:rsidRPr="00026596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026596">
        <w:rPr>
          <w:sz w:val="24"/>
          <w:szCs w:val="24"/>
        </w:rPr>
        <w:t>25%</w:t>
      </w:r>
    </w:p>
    <w:p w:rsidR="00B62C8A" w:rsidRPr="00026596" w:rsidRDefault="00B62C8A" w:rsidP="00B62C8A">
      <w:pPr>
        <w:pStyle w:val="NormalWeb"/>
        <w:numPr>
          <w:ilvl w:val="0"/>
          <w:numId w:val="5"/>
        </w:numPr>
        <w:jc w:val="both"/>
        <w:rPr>
          <w:lang w:val="ro-RO"/>
        </w:rPr>
      </w:pPr>
      <w:r w:rsidRPr="00026596">
        <w:rPr>
          <w:lang w:val="ro-RO"/>
        </w:rPr>
        <w:t>de la 1 ianuarie 2017 –</w:t>
      </w:r>
      <w:r>
        <w:rPr>
          <w:lang w:val="ro-RO"/>
        </w:rPr>
        <w:t>5,75%</w:t>
      </w:r>
    </w:p>
    <w:p w:rsidR="00B62C8A" w:rsidRPr="00026596" w:rsidRDefault="00B62C8A" w:rsidP="00B62C8A">
      <w:pPr>
        <w:pStyle w:val="NormalWeb"/>
        <w:numPr>
          <w:ilvl w:val="0"/>
          <w:numId w:val="5"/>
        </w:numPr>
        <w:jc w:val="both"/>
        <w:rPr>
          <w:lang w:val="ro-RO"/>
        </w:rPr>
      </w:pPr>
      <w:r w:rsidRPr="00026596">
        <w:rPr>
          <w:lang w:val="ro-RO"/>
        </w:rPr>
        <w:t>de la 1 ianuarie 2018 –</w:t>
      </w:r>
      <w:r>
        <w:rPr>
          <w:lang w:val="ro-RO"/>
        </w:rPr>
        <w:t>6</w:t>
      </w:r>
      <w:r w:rsidRPr="00026596">
        <w:rPr>
          <w:lang w:val="ro-RO"/>
        </w:rPr>
        <w:t>,</w:t>
      </w:r>
      <w:r>
        <w:rPr>
          <w:lang w:val="ro-RO"/>
        </w:rPr>
        <w:t>3</w:t>
      </w:r>
      <w:r w:rsidRPr="00026596">
        <w:rPr>
          <w:lang w:val="ro-RO"/>
        </w:rPr>
        <w:t>75%</w:t>
      </w:r>
    </w:p>
    <w:p w:rsidR="00B62C8A" w:rsidRDefault="00B62C8A" w:rsidP="00B62C8A">
      <w:pPr>
        <w:pStyle w:val="NormalWeb"/>
        <w:numPr>
          <w:ilvl w:val="0"/>
          <w:numId w:val="5"/>
        </w:numPr>
        <w:jc w:val="both"/>
        <w:rPr>
          <w:lang w:val="ro-RO"/>
        </w:rPr>
      </w:pPr>
      <w:r w:rsidRPr="00026596">
        <w:rPr>
          <w:lang w:val="ro-RO"/>
        </w:rPr>
        <w:t>de la 1 ianuarie 201</w:t>
      </w:r>
      <w:r w:rsidR="00BF73E4">
        <w:rPr>
          <w:lang w:val="ro-RO"/>
        </w:rPr>
        <w:t>9</w:t>
      </w:r>
      <w:r w:rsidRPr="00026596">
        <w:rPr>
          <w:lang w:val="ro-RO"/>
        </w:rPr>
        <w:t xml:space="preserve"> –</w:t>
      </w:r>
      <w:r>
        <w:rPr>
          <w:lang w:val="ro-RO"/>
        </w:rPr>
        <w:t xml:space="preserve"> 7</w:t>
      </w:r>
      <w:r w:rsidRPr="00026596">
        <w:rPr>
          <w:lang w:val="ro-RO"/>
        </w:rPr>
        <w:t>%</w:t>
      </w:r>
    </w:p>
    <w:p w:rsidR="0064107F" w:rsidRPr="00B9656D" w:rsidRDefault="0064107F" w:rsidP="0064107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656D">
        <w:rPr>
          <w:rFonts w:ascii="Times New Roman" w:hAnsi="Times New Roman" w:cs="Times New Roman"/>
          <w:sz w:val="24"/>
          <w:szCs w:val="24"/>
          <w:lang w:val="ro-RO"/>
        </w:rPr>
        <w:t xml:space="preserve">Se estimează că utilizarea acestor instrumente macroprudenţiale nu va implica </w:t>
      </w:r>
      <w:r w:rsidR="00105479">
        <w:rPr>
          <w:rFonts w:ascii="Times New Roman" w:hAnsi="Times New Roman" w:cs="Times New Roman"/>
          <w:sz w:val="24"/>
          <w:szCs w:val="24"/>
          <w:lang w:val="ro-RO"/>
        </w:rPr>
        <w:t xml:space="preserve">aport de capital, </w:t>
      </w:r>
      <w:r w:rsidRPr="00B9656D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B9656D">
        <w:rPr>
          <w:rFonts w:ascii="Times New Roman" w:hAnsi="Times New Roman" w:cs="Times New Roman"/>
          <w:sz w:val="24"/>
          <w:szCs w:val="24"/>
          <w:lang w:val="ro-RO"/>
        </w:rPr>
        <w:t>acest moment</w:t>
      </w:r>
      <w:r w:rsidR="0010547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965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9656D" w:rsidRPr="00B9656D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B9656D">
        <w:rPr>
          <w:rFonts w:ascii="Times New Roman" w:hAnsi="Times New Roman" w:cs="Times New Roman"/>
          <w:sz w:val="24"/>
          <w:szCs w:val="24"/>
          <w:lang w:val="ro-RO"/>
        </w:rPr>
        <w:t xml:space="preserve">cazul </w:t>
      </w:r>
      <w:r w:rsidR="00B9656D">
        <w:rPr>
          <w:rFonts w:ascii="Times New Roman" w:hAnsi="Times New Roman" w:cs="Times New Roman"/>
          <w:sz w:val="24"/>
          <w:szCs w:val="24"/>
          <w:lang w:val="ro-RO"/>
        </w:rPr>
        <w:t>institu</w:t>
      </w:r>
      <w:r w:rsidR="00B9656D" w:rsidRPr="00B9656D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9656D">
        <w:rPr>
          <w:rFonts w:ascii="Times New Roman" w:hAnsi="Times New Roman" w:cs="Times New Roman"/>
          <w:sz w:val="24"/>
          <w:szCs w:val="24"/>
          <w:lang w:val="ro-RO"/>
        </w:rPr>
        <w:t xml:space="preserve">iilor de credit din </w:t>
      </w:r>
      <w:r w:rsidRPr="00B9656D">
        <w:rPr>
          <w:rFonts w:ascii="Times New Roman" w:hAnsi="Times New Roman" w:cs="Times New Roman"/>
          <w:sz w:val="24"/>
          <w:szCs w:val="24"/>
          <w:lang w:val="ro-RO"/>
        </w:rPr>
        <w:t>Români</w:t>
      </w:r>
      <w:r w:rsidR="00B9656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9656D">
        <w:rPr>
          <w:rFonts w:ascii="Times New Roman" w:hAnsi="Times New Roman" w:cs="Times New Roman"/>
          <w:sz w:val="24"/>
          <w:szCs w:val="24"/>
          <w:lang w:val="ro-RO"/>
        </w:rPr>
        <w:t xml:space="preserve">, având în vedere nivelul ridicat al </w:t>
      </w:r>
      <w:r w:rsidR="00105479">
        <w:rPr>
          <w:rFonts w:ascii="Times New Roman" w:hAnsi="Times New Roman" w:cs="Times New Roman"/>
          <w:sz w:val="24"/>
          <w:szCs w:val="24"/>
          <w:lang w:val="ro-RO"/>
        </w:rPr>
        <w:t>rezervelor d</w:t>
      </w:r>
      <w:r w:rsidRPr="00B9656D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105479">
        <w:rPr>
          <w:rFonts w:ascii="Times New Roman" w:hAnsi="Times New Roman" w:cs="Times New Roman"/>
          <w:sz w:val="24"/>
          <w:szCs w:val="24"/>
          <w:lang w:val="ro-RO"/>
        </w:rPr>
        <w:t xml:space="preserve">capital existente, relevat prin indicatorii de </w:t>
      </w:r>
      <w:r w:rsidRPr="00B9656D">
        <w:rPr>
          <w:rFonts w:ascii="Times New Roman" w:hAnsi="Times New Roman" w:cs="Times New Roman"/>
          <w:sz w:val="24"/>
          <w:szCs w:val="24"/>
          <w:lang w:val="ro-RO"/>
        </w:rPr>
        <w:t xml:space="preserve">adecvare a capitalului raportaţi de </w:t>
      </w:r>
      <w:r w:rsidR="00B9656D">
        <w:rPr>
          <w:rFonts w:ascii="Times New Roman" w:hAnsi="Times New Roman" w:cs="Times New Roman"/>
          <w:sz w:val="24"/>
          <w:szCs w:val="24"/>
          <w:lang w:val="ro-RO"/>
        </w:rPr>
        <w:t>acestea</w:t>
      </w:r>
      <w:r w:rsidRPr="00B9656D">
        <w:rPr>
          <w:rFonts w:ascii="Times New Roman" w:hAnsi="Times New Roman" w:cs="Times New Roman"/>
          <w:sz w:val="24"/>
          <w:szCs w:val="24"/>
          <w:lang w:val="ro-RO"/>
        </w:rPr>
        <w:t xml:space="preserve">. De asemenea, analizele efectuate au relevat faptul că impunerea amortizoarelor de capital nu va afecta negativ procesul de reluare sustenabilă a creditării sectorului real. </w:t>
      </w:r>
    </w:p>
    <w:p w:rsidR="0064107F" w:rsidRDefault="0064107F" w:rsidP="0064107F">
      <w:pPr>
        <w:pStyle w:val="NormalWeb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Membrii</w:t>
      </w:r>
      <w:proofErr w:type="spellEnd"/>
      <w:r>
        <w:rPr>
          <w:lang w:val="en"/>
        </w:rPr>
        <w:t xml:space="preserve"> CNSF </w:t>
      </w:r>
      <w:proofErr w:type="spellStart"/>
      <w:r>
        <w:rPr>
          <w:lang w:val="en"/>
        </w:rPr>
        <w:t>vor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emite</w:t>
      </w:r>
      <w:proofErr w:type="spellEnd"/>
      <w:r>
        <w:rPr>
          <w:lang w:val="en"/>
        </w:rPr>
        <w:t xml:space="preserve"> periodic </w:t>
      </w:r>
      <w:proofErr w:type="spellStart"/>
      <w:r>
        <w:rPr>
          <w:lang w:val="en"/>
        </w:rPr>
        <w:t>recomandări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privind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aplicarea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amortizoarelor</w:t>
      </w:r>
      <w:proofErr w:type="spellEnd"/>
      <w:r>
        <w:rPr>
          <w:lang w:val="en"/>
        </w:rPr>
        <w:t xml:space="preserve"> de capital </w:t>
      </w:r>
      <w:proofErr w:type="spellStart"/>
      <w:r>
        <w:rPr>
          <w:lang w:val="en"/>
        </w:rPr>
        <w:t>în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România</w:t>
      </w:r>
      <w:proofErr w:type="spellEnd"/>
      <w:r>
        <w:rPr>
          <w:lang w:val="en"/>
        </w:rPr>
        <w:t>.</w:t>
      </w:r>
      <w:proofErr w:type="gramEnd"/>
      <w:r>
        <w:rPr>
          <w:lang w:val="en"/>
        </w:rPr>
        <w:t xml:space="preserve"> </w:t>
      </w:r>
    </w:p>
    <w:p w:rsidR="0064107F" w:rsidRDefault="0064107F" w:rsidP="00645B7C">
      <w:pPr>
        <w:pStyle w:val="NormalWeb"/>
        <w:jc w:val="both"/>
        <w:rPr>
          <w:lang w:val="en"/>
        </w:rPr>
      </w:pPr>
    </w:p>
    <w:sectPr w:rsidR="0064107F" w:rsidSect="00247D32">
      <w:footerReference w:type="default" r:id="rId10"/>
      <w:pgSz w:w="11907" w:h="16840" w:code="9"/>
      <w:pgMar w:top="907" w:right="992" w:bottom="851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B0" w:rsidRDefault="00B76CB0" w:rsidP="00247D32">
      <w:pPr>
        <w:spacing w:after="0" w:line="240" w:lineRule="auto"/>
      </w:pPr>
      <w:r>
        <w:separator/>
      </w:r>
    </w:p>
  </w:endnote>
  <w:endnote w:type="continuationSeparator" w:id="0">
    <w:p w:rsidR="00B76CB0" w:rsidRDefault="00B76CB0" w:rsidP="0024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32" w:rsidRDefault="00247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B0" w:rsidRDefault="00B76CB0" w:rsidP="00247D32">
      <w:pPr>
        <w:spacing w:after="0" w:line="240" w:lineRule="auto"/>
      </w:pPr>
      <w:r>
        <w:separator/>
      </w:r>
    </w:p>
  </w:footnote>
  <w:footnote w:type="continuationSeparator" w:id="0">
    <w:p w:rsidR="00B76CB0" w:rsidRDefault="00B76CB0" w:rsidP="00247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0B0"/>
    <w:multiLevelType w:val="hybridMultilevel"/>
    <w:tmpl w:val="80A6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4D35"/>
    <w:multiLevelType w:val="hybridMultilevel"/>
    <w:tmpl w:val="540EFE9A"/>
    <w:lvl w:ilvl="0" w:tplc="02AE47D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i/>
        <w:sz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81ADB"/>
    <w:multiLevelType w:val="hybridMultilevel"/>
    <w:tmpl w:val="6010B0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5724D"/>
    <w:multiLevelType w:val="hybridMultilevel"/>
    <w:tmpl w:val="5C94ECF6"/>
    <w:lvl w:ilvl="0" w:tplc="36281B3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C3D7A"/>
    <w:multiLevelType w:val="hybridMultilevel"/>
    <w:tmpl w:val="56D4850C"/>
    <w:lvl w:ilvl="0" w:tplc="C5DCFE3E">
      <w:start w:val="1"/>
      <w:numFmt w:val="lowerRoman"/>
      <w:lvlText w:val="(%1)"/>
      <w:lvlJc w:val="left"/>
      <w:pPr>
        <w:ind w:left="780" w:hanging="72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D601C88"/>
    <w:multiLevelType w:val="hybridMultilevel"/>
    <w:tmpl w:val="85C09AE4"/>
    <w:lvl w:ilvl="0" w:tplc="B8A63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EC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0B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AE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8F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8F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28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C3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AF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38458B"/>
    <w:multiLevelType w:val="hybridMultilevel"/>
    <w:tmpl w:val="1CB4ABD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92"/>
    <w:rsid w:val="00026596"/>
    <w:rsid w:val="0006237A"/>
    <w:rsid w:val="00091CAC"/>
    <w:rsid w:val="000F6002"/>
    <w:rsid w:val="00105479"/>
    <w:rsid w:val="00247D32"/>
    <w:rsid w:val="00253C33"/>
    <w:rsid w:val="002B3843"/>
    <w:rsid w:val="00375232"/>
    <w:rsid w:val="003D6AE6"/>
    <w:rsid w:val="003E535B"/>
    <w:rsid w:val="004324B3"/>
    <w:rsid w:val="00512BA1"/>
    <w:rsid w:val="00632FBB"/>
    <w:rsid w:val="0064107F"/>
    <w:rsid w:val="00645B7C"/>
    <w:rsid w:val="007D65CE"/>
    <w:rsid w:val="00810D65"/>
    <w:rsid w:val="00862C92"/>
    <w:rsid w:val="008E4525"/>
    <w:rsid w:val="00916EC2"/>
    <w:rsid w:val="00932370"/>
    <w:rsid w:val="009375E0"/>
    <w:rsid w:val="009B637F"/>
    <w:rsid w:val="00A9106A"/>
    <w:rsid w:val="00AC2B56"/>
    <w:rsid w:val="00B62C8A"/>
    <w:rsid w:val="00B76CB0"/>
    <w:rsid w:val="00B9656D"/>
    <w:rsid w:val="00BF73E4"/>
    <w:rsid w:val="00D273FB"/>
    <w:rsid w:val="00D50185"/>
    <w:rsid w:val="00D57CC5"/>
    <w:rsid w:val="00DE44ED"/>
    <w:rsid w:val="00DF2C33"/>
    <w:rsid w:val="00E33F4A"/>
    <w:rsid w:val="00F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C9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FB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uiPriority w:val="99"/>
    <w:rsid w:val="00916EC2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  <w:lang w:val="ro-RO" w:eastAsia="ro-RO"/>
    </w:rPr>
  </w:style>
  <w:style w:type="paragraph" w:customStyle="1" w:styleId="ln2acttitlu">
    <w:name w:val="ln2acttitlu"/>
    <w:basedOn w:val="Normal"/>
    <w:rsid w:val="00026596"/>
    <w:pPr>
      <w:spacing w:before="100" w:beforeAutospacing="1" w:after="100" w:afterAutospacing="1" w:line="240" w:lineRule="auto"/>
      <w:jc w:val="center"/>
    </w:pPr>
    <w:rPr>
      <w:rFonts w:ascii="Times New Roman" w:eastAsiaTheme="minorHAnsi" w:hAnsi="Times New Roman" w:cs="Times New Roman"/>
      <w:color w:val="000010"/>
      <w:sz w:val="18"/>
      <w:szCs w:val="18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247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D32"/>
  </w:style>
  <w:style w:type="paragraph" w:styleId="Footer">
    <w:name w:val="footer"/>
    <w:basedOn w:val="Normal"/>
    <w:link w:val="FooterChar"/>
    <w:uiPriority w:val="99"/>
    <w:unhideWhenUsed/>
    <w:rsid w:val="00247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C9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FB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uiPriority w:val="99"/>
    <w:rsid w:val="00916EC2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  <w:lang w:val="ro-RO" w:eastAsia="ro-RO"/>
    </w:rPr>
  </w:style>
  <w:style w:type="paragraph" w:customStyle="1" w:styleId="ln2acttitlu">
    <w:name w:val="ln2acttitlu"/>
    <w:basedOn w:val="Normal"/>
    <w:rsid w:val="00026596"/>
    <w:pPr>
      <w:spacing w:before="100" w:beforeAutospacing="1" w:after="100" w:afterAutospacing="1" w:line="240" w:lineRule="auto"/>
      <w:jc w:val="center"/>
    </w:pPr>
    <w:rPr>
      <w:rFonts w:ascii="Times New Roman" w:eastAsiaTheme="minorHAnsi" w:hAnsi="Times New Roman" w:cs="Times New Roman"/>
      <w:color w:val="000010"/>
      <w:sz w:val="18"/>
      <w:szCs w:val="18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247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D32"/>
  </w:style>
  <w:style w:type="paragraph" w:styleId="Footer">
    <w:name w:val="footer"/>
    <w:basedOn w:val="Normal"/>
    <w:link w:val="FooterChar"/>
    <w:uiPriority w:val="99"/>
    <w:unhideWhenUsed/>
    <w:rsid w:val="00247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02CF-6C22-45A7-A6B0-5C19B5AB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SRV-HQ-SCCM-01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DSF</dc:creator>
  <cp:lastModifiedBy>Directia Comunicare</cp:lastModifiedBy>
  <cp:revision>2</cp:revision>
  <cp:lastPrinted>2015-11-27T14:59:00Z</cp:lastPrinted>
  <dcterms:created xsi:type="dcterms:W3CDTF">2015-11-27T16:05:00Z</dcterms:created>
  <dcterms:modified xsi:type="dcterms:W3CDTF">2015-11-27T16:05:00Z</dcterms:modified>
</cp:coreProperties>
</file>