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45" w:rsidRPr="0059589B" w:rsidRDefault="007C3B45" w:rsidP="007C3B45">
      <w:pPr>
        <w:pStyle w:val="Heading1"/>
        <w:rPr>
          <w:sz w:val="24"/>
          <w:szCs w:val="24"/>
        </w:rPr>
      </w:pPr>
      <w:bookmarkStart w:id="0" w:name="_GoBack"/>
      <w:bookmarkEnd w:id="0"/>
    </w:p>
    <w:p w:rsidR="007C3B45" w:rsidRPr="0059589B" w:rsidRDefault="007C3B45" w:rsidP="007C3B45">
      <w:pPr>
        <w:pStyle w:val="Heading1"/>
        <w:rPr>
          <w:sz w:val="24"/>
          <w:szCs w:val="24"/>
        </w:rPr>
      </w:pPr>
      <w:r w:rsidRPr="0059589B">
        <w:rPr>
          <w:sz w:val="24"/>
          <w:szCs w:val="24"/>
        </w:rPr>
        <w:t>Notification letter for the marketing of units or shares of EU AIFs in Member States other than the home Member State of the AIFM (Article 32 of the AIFMD)</w:t>
      </w:r>
    </w:p>
    <w:p w:rsidR="007C3B45" w:rsidRPr="0059589B" w:rsidRDefault="007C3B45" w:rsidP="007C3B45">
      <w:pPr>
        <w:rPr>
          <w:b/>
          <w:sz w:val="24"/>
          <w:szCs w:val="24"/>
        </w:rPr>
      </w:pPr>
      <w:r w:rsidRPr="0059589B">
        <w:rPr>
          <w:b/>
          <w:sz w:val="24"/>
          <w:szCs w:val="24"/>
        </w:rPr>
        <w:t>NOTIFICATION OF INTENTION TO MARKET UNITS OR SHARES OF AN AIF OR AIFs OF THE SAME AIFM IN A MEMBER STATE OTHER THAN THE HOME MEMBER STATE OF THE AIFM</w:t>
      </w:r>
    </w:p>
    <w:p w:rsidR="007C3B45" w:rsidRDefault="007C3B45" w:rsidP="007C3B45">
      <w:pPr>
        <w:spacing w:after="120"/>
      </w:pPr>
    </w:p>
    <w:p w:rsidR="007C3B45" w:rsidRPr="0059589B" w:rsidRDefault="007C3B45" w:rsidP="007C3B45">
      <w:pPr>
        <w:spacing w:after="120"/>
        <w:jc w:val="center"/>
      </w:pPr>
      <w:r w:rsidRPr="0059589B">
        <w:t>The information provided in this notification letter should not be ambiguous.</w:t>
      </w:r>
    </w:p>
    <w:p w:rsidR="007C3B45" w:rsidRPr="0059589B" w:rsidRDefault="007C3B45" w:rsidP="007C3B45">
      <w:pPr>
        <w:spacing w:after="120"/>
      </w:pPr>
      <w:r w:rsidRPr="0059589B">
        <w:t>Are you notifying amendments to information already provided in an initial notification?   Yes</w:t>
      </w:r>
      <w:bookmarkStart w:id="1" w:name="Check15"/>
      <w:r w:rsidRPr="0059589B">
        <w:t>  </w:t>
      </w:r>
      <w:r w:rsidRPr="0059589B">
        <w:fldChar w:fldCharType="begin">
          <w:ffData>
            <w:name w:val="Check15"/>
            <w:enabled/>
            <w:calcOnExit w:val="0"/>
            <w:checkBox>
              <w:sizeAuto/>
              <w:default w:val="0"/>
            </w:checkBox>
          </w:ffData>
        </w:fldChar>
      </w:r>
      <w:r w:rsidRPr="0059589B">
        <w:instrText xml:space="preserve"> FORMCHECKBOX </w:instrText>
      </w:r>
      <w:r>
        <w:fldChar w:fldCharType="separate"/>
      </w:r>
      <w:r w:rsidRPr="0059589B">
        <w:fldChar w:fldCharType="end"/>
      </w:r>
      <w:bookmarkEnd w:id="1"/>
      <w:r w:rsidRPr="0059589B">
        <w:t xml:space="preserve">    No  </w:t>
      </w:r>
      <w:r w:rsidRPr="0059589B">
        <w:fldChar w:fldCharType="begin">
          <w:ffData>
            <w:name w:val="Check15"/>
            <w:enabled/>
            <w:calcOnExit w:val="0"/>
            <w:checkBox>
              <w:sizeAuto/>
              <w:default w:val="0"/>
            </w:checkBox>
          </w:ffData>
        </w:fldChar>
      </w:r>
      <w:r w:rsidRPr="0059589B">
        <w:instrText xml:space="preserve"> FORMCHECKBOX </w:instrText>
      </w:r>
      <w:r>
        <w:fldChar w:fldCharType="separate"/>
      </w:r>
      <w:r w:rsidRPr="0059589B">
        <w:fldChar w:fldCharType="end"/>
      </w:r>
    </w:p>
    <w:p w:rsidR="007C3B45" w:rsidRPr="0059589B" w:rsidRDefault="007C3B45" w:rsidP="007C3B45">
      <w:pPr>
        <w:spacing w:after="120"/>
      </w:pPr>
    </w:p>
    <w:p w:rsidR="007C3B45" w:rsidRPr="0059589B" w:rsidRDefault="007C3B45" w:rsidP="007C3B45">
      <w:pPr>
        <w:spacing w:after="120"/>
      </w:pPr>
      <w:r w:rsidRPr="0059589B">
        <w:t>Name of the AIFM: __________________________________________________________________</w:t>
      </w:r>
    </w:p>
    <w:p w:rsidR="007C3B45" w:rsidRPr="0059589B" w:rsidRDefault="007C3B45" w:rsidP="007C3B45">
      <w:pPr>
        <w:spacing w:after="120"/>
      </w:pPr>
      <w:r w:rsidRPr="0059589B">
        <w:t>Contact details at the AIFM (registered address of the AIFM):</w:t>
      </w:r>
    </w:p>
    <w:p w:rsidR="007C3B45" w:rsidRPr="0059589B" w:rsidRDefault="007C3B45" w:rsidP="007C3B45">
      <w:r w:rsidRPr="0059589B">
        <w:t>_________________________________________________________________________________</w:t>
      </w:r>
    </w:p>
    <w:p w:rsidR="007C3B45" w:rsidRPr="0059589B" w:rsidRDefault="007C3B45" w:rsidP="007C3B45">
      <w:pPr>
        <w:spacing w:after="120"/>
      </w:pPr>
    </w:p>
    <w:p w:rsidR="007C3B45" w:rsidRPr="0059589B" w:rsidRDefault="007C3B45" w:rsidP="007C3B45">
      <w:pPr>
        <w:spacing w:after="120"/>
      </w:pPr>
      <w:r w:rsidRPr="0059589B">
        <w:t>Member State in which the AIFM intends to market the units or shares of the AIF to professional investors: _________________________________________________________________________</w:t>
      </w:r>
    </w:p>
    <w:p w:rsidR="007C3B45" w:rsidRPr="0059589B" w:rsidRDefault="007C3B45" w:rsidP="007C3B45"/>
    <w:p w:rsidR="007C3B45" w:rsidRPr="0059589B" w:rsidRDefault="007C3B45" w:rsidP="007C3B45">
      <w:r w:rsidRPr="0059589B">
        <w:t>Is the AIF regulated by the competent authorities in its home Member State? Yes  </w:t>
      </w:r>
      <w:r w:rsidRPr="0059589B">
        <w:fldChar w:fldCharType="begin">
          <w:ffData>
            <w:name w:val=""/>
            <w:enabled/>
            <w:calcOnExit w:val="0"/>
            <w:checkBox>
              <w:sizeAuto/>
              <w:default w:val="0"/>
            </w:checkBox>
          </w:ffData>
        </w:fldChar>
      </w:r>
      <w:r w:rsidRPr="0059589B">
        <w:instrText xml:space="preserve"> FORMCHECKBOX </w:instrText>
      </w:r>
      <w:r>
        <w:fldChar w:fldCharType="separate"/>
      </w:r>
      <w:r w:rsidRPr="0059589B">
        <w:fldChar w:fldCharType="end"/>
      </w:r>
      <w:r w:rsidRPr="0059589B">
        <w:t xml:space="preserve">    No  </w:t>
      </w:r>
      <w:r w:rsidRPr="0059589B">
        <w:fldChar w:fldCharType="begin">
          <w:ffData>
            <w:name w:val="Check15"/>
            <w:enabled/>
            <w:calcOnExit w:val="0"/>
            <w:checkBox>
              <w:sizeAuto/>
              <w:default w:val="0"/>
            </w:checkBox>
          </w:ffData>
        </w:fldChar>
      </w:r>
      <w:r w:rsidRPr="0059589B">
        <w:instrText xml:space="preserve"> FORMCHECKBOX </w:instrText>
      </w:r>
      <w:r>
        <w:fldChar w:fldCharType="separate"/>
      </w:r>
      <w:r w:rsidRPr="0059589B">
        <w:fldChar w:fldCharType="end"/>
      </w:r>
    </w:p>
    <w:p w:rsidR="007C3B45" w:rsidRPr="0059589B" w:rsidRDefault="007C3B45" w:rsidP="007C3B45">
      <w:r w:rsidRPr="0059589B">
        <w:t>Does the AIF(s) have compartments?  Yes  </w:t>
      </w:r>
      <w:r w:rsidRPr="0059589B">
        <w:fldChar w:fldCharType="begin">
          <w:ffData>
            <w:name w:val=""/>
            <w:enabled/>
            <w:calcOnExit w:val="0"/>
            <w:checkBox>
              <w:sizeAuto/>
              <w:default w:val="0"/>
            </w:checkBox>
          </w:ffData>
        </w:fldChar>
      </w:r>
      <w:r w:rsidRPr="0059589B">
        <w:instrText xml:space="preserve"> FORMCHECKBOX </w:instrText>
      </w:r>
      <w:r>
        <w:fldChar w:fldCharType="separate"/>
      </w:r>
      <w:r w:rsidRPr="0059589B">
        <w:fldChar w:fldCharType="end"/>
      </w:r>
      <w:r w:rsidRPr="0059589B">
        <w:t xml:space="preserve">    No  </w:t>
      </w:r>
      <w:r w:rsidRPr="0059589B">
        <w:fldChar w:fldCharType="begin">
          <w:ffData>
            <w:name w:val="Check15"/>
            <w:enabled/>
            <w:calcOnExit w:val="0"/>
            <w:checkBox>
              <w:sizeAuto/>
              <w:default w:val="0"/>
            </w:checkBox>
          </w:ffData>
        </w:fldChar>
      </w:r>
      <w:r w:rsidRPr="0059589B">
        <w:instrText xml:space="preserve"> FORMCHECKBOX </w:instrText>
      </w:r>
      <w:r>
        <w:fldChar w:fldCharType="separate"/>
      </w:r>
      <w:r w:rsidRPr="0059589B">
        <w:fldChar w:fldCharType="end"/>
      </w:r>
    </w:p>
    <w:p w:rsidR="007C3B45" w:rsidRPr="0059589B" w:rsidRDefault="007C3B45" w:rsidP="007C3B45">
      <w:pPr>
        <w:spacing w:after="120"/>
      </w:pPr>
      <w:r w:rsidRPr="0059589B">
        <w:t>Name of the umbrella AIF (if applicable): 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928"/>
        <w:gridCol w:w="710"/>
        <w:gridCol w:w="649"/>
        <w:gridCol w:w="1116"/>
        <w:gridCol w:w="1575"/>
        <w:gridCol w:w="1153"/>
        <w:gridCol w:w="1356"/>
      </w:tblGrid>
      <w:tr w:rsidR="007C3B45" w:rsidRPr="0059589B" w:rsidTr="0051254A">
        <w:trPr>
          <w:cantSplit/>
          <w:tblHeader/>
        </w:trPr>
        <w:tc>
          <w:tcPr>
            <w:tcW w:w="869" w:type="pct"/>
            <w:tcBorders>
              <w:bottom w:val="single" w:sz="18" w:space="0" w:color="auto"/>
            </w:tcBorders>
            <w:shd w:val="clear" w:color="auto" w:fill="auto"/>
          </w:tcPr>
          <w:p w:rsidR="007C3B45" w:rsidRPr="0059589B" w:rsidRDefault="007C3B45" w:rsidP="0051254A">
            <w:pPr>
              <w:rPr>
                <w:sz w:val="18"/>
                <w:szCs w:val="18"/>
              </w:rPr>
            </w:pPr>
            <w:r w:rsidRPr="0059589B">
              <w:rPr>
                <w:sz w:val="18"/>
                <w:szCs w:val="18"/>
              </w:rPr>
              <w:t>Name of the AIF or AIFs or compartment(s) to be marketed in the host Member State</w:t>
            </w:r>
            <w:r w:rsidRPr="0059589B">
              <w:rPr>
                <w:rStyle w:val="FootnoteReference"/>
                <w:b/>
              </w:rPr>
              <w:footnoteReference w:id="1"/>
            </w:r>
          </w:p>
        </w:tc>
        <w:tc>
          <w:tcPr>
            <w:tcW w:w="512" w:type="pct"/>
            <w:tcBorders>
              <w:bottom w:val="single" w:sz="18" w:space="0" w:color="auto"/>
            </w:tcBorders>
            <w:shd w:val="clear" w:color="auto" w:fill="auto"/>
          </w:tcPr>
          <w:p w:rsidR="007C3B45" w:rsidRPr="0059589B" w:rsidRDefault="007C3B45" w:rsidP="0051254A">
            <w:pPr>
              <w:rPr>
                <w:sz w:val="18"/>
                <w:szCs w:val="18"/>
              </w:rPr>
            </w:pPr>
            <w:r w:rsidRPr="0059589B">
              <w:rPr>
                <w:sz w:val="18"/>
                <w:szCs w:val="18"/>
              </w:rPr>
              <w:t>AIF home Member State</w:t>
            </w:r>
          </w:p>
        </w:tc>
        <w:tc>
          <w:tcPr>
            <w:tcW w:w="392" w:type="pct"/>
            <w:tcBorders>
              <w:bottom w:val="single" w:sz="18" w:space="0" w:color="auto"/>
            </w:tcBorders>
            <w:shd w:val="clear" w:color="auto" w:fill="auto"/>
          </w:tcPr>
          <w:p w:rsidR="007C3B45" w:rsidRPr="0059589B" w:rsidRDefault="007C3B45" w:rsidP="0051254A">
            <w:pPr>
              <w:rPr>
                <w:sz w:val="18"/>
                <w:szCs w:val="18"/>
              </w:rPr>
            </w:pPr>
            <w:r w:rsidRPr="0059589B">
              <w:rPr>
                <w:sz w:val="18"/>
                <w:szCs w:val="18"/>
              </w:rPr>
              <w:t>Legal form</w:t>
            </w:r>
            <w:r w:rsidRPr="0059589B">
              <w:rPr>
                <w:rStyle w:val="FootnoteReference"/>
              </w:rPr>
              <w:footnoteReference w:id="2"/>
            </w:r>
          </w:p>
        </w:tc>
        <w:tc>
          <w:tcPr>
            <w:tcW w:w="358" w:type="pct"/>
            <w:tcBorders>
              <w:bottom w:val="single" w:sz="18" w:space="0" w:color="auto"/>
            </w:tcBorders>
          </w:tcPr>
          <w:p w:rsidR="007C3B45" w:rsidRPr="0059589B" w:rsidRDefault="007C3B45" w:rsidP="0051254A">
            <w:pPr>
              <w:rPr>
                <w:sz w:val="18"/>
                <w:szCs w:val="18"/>
              </w:rPr>
            </w:pPr>
            <w:r w:rsidRPr="0059589B">
              <w:rPr>
                <w:sz w:val="18"/>
                <w:szCs w:val="18"/>
              </w:rPr>
              <w:t>Type of AIF</w:t>
            </w:r>
            <w:r w:rsidRPr="0059589B">
              <w:rPr>
                <w:rStyle w:val="FootnoteReference"/>
              </w:rPr>
              <w:footnoteReference w:id="3"/>
            </w:r>
          </w:p>
        </w:tc>
        <w:tc>
          <w:tcPr>
            <w:tcW w:w="616" w:type="pct"/>
            <w:tcBorders>
              <w:bottom w:val="single" w:sz="18" w:space="0" w:color="auto"/>
            </w:tcBorders>
          </w:tcPr>
          <w:p w:rsidR="007C3B45" w:rsidRPr="0059589B" w:rsidRDefault="007C3B45" w:rsidP="0051254A">
            <w:pPr>
              <w:rPr>
                <w:sz w:val="18"/>
                <w:szCs w:val="18"/>
              </w:rPr>
            </w:pPr>
            <w:r w:rsidRPr="0059589B">
              <w:rPr>
                <w:sz w:val="18"/>
                <w:szCs w:val="18"/>
              </w:rPr>
              <w:t>Information on the depositary of the AIF</w:t>
            </w:r>
            <w:r w:rsidRPr="0059589B">
              <w:rPr>
                <w:rStyle w:val="FootnoteReference"/>
              </w:rPr>
              <w:footnoteReference w:id="4"/>
            </w:r>
          </w:p>
        </w:tc>
        <w:tc>
          <w:tcPr>
            <w:tcW w:w="869" w:type="pct"/>
            <w:tcBorders>
              <w:bottom w:val="single" w:sz="18" w:space="0" w:color="auto"/>
            </w:tcBorders>
            <w:shd w:val="clear" w:color="auto" w:fill="auto"/>
          </w:tcPr>
          <w:p w:rsidR="007C3B45" w:rsidRPr="0059589B" w:rsidRDefault="007C3B45" w:rsidP="0051254A">
            <w:pPr>
              <w:rPr>
                <w:sz w:val="18"/>
                <w:szCs w:val="18"/>
              </w:rPr>
            </w:pPr>
            <w:r w:rsidRPr="0059589B">
              <w:rPr>
                <w:sz w:val="18"/>
                <w:szCs w:val="18"/>
              </w:rPr>
              <w:t>Name of the master AIF/or compartment(s) (if applicable)</w:t>
            </w:r>
          </w:p>
        </w:tc>
        <w:tc>
          <w:tcPr>
            <w:tcW w:w="636" w:type="pct"/>
            <w:tcBorders>
              <w:bottom w:val="single" w:sz="18" w:space="0" w:color="auto"/>
            </w:tcBorders>
            <w:shd w:val="clear" w:color="auto" w:fill="auto"/>
          </w:tcPr>
          <w:p w:rsidR="007C3B45" w:rsidRPr="0059589B" w:rsidRDefault="007C3B45" w:rsidP="0051254A">
            <w:pPr>
              <w:rPr>
                <w:sz w:val="18"/>
                <w:szCs w:val="18"/>
              </w:rPr>
            </w:pPr>
            <w:r w:rsidRPr="0059589B">
              <w:rPr>
                <w:sz w:val="18"/>
                <w:szCs w:val="18"/>
              </w:rPr>
              <w:t>Home Member State of the master AIF (if applicable)</w:t>
            </w:r>
          </w:p>
        </w:tc>
        <w:tc>
          <w:tcPr>
            <w:tcW w:w="748" w:type="pct"/>
            <w:tcBorders>
              <w:bottom w:val="single" w:sz="18" w:space="0" w:color="auto"/>
            </w:tcBorders>
            <w:shd w:val="clear" w:color="auto" w:fill="auto"/>
          </w:tcPr>
          <w:p w:rsidR="007C3B45" w:rsidRPr="0059589B" w:rsidRDefault="007C3B45" w:rsidP="0051254A">
            <w:pPr>
              <w:rPr>
                <w:sz w:val="18"/>
                <w:szCs w:val="18"/>
              </w:rPr>
            </w:pPr>
            <w:r w:rsidRPr="0059589B">
              <w:rPr>
                <w:sz w:val="18"/>
                <w:szCs w:val="18"/>
              </w:rPr>
              <w:t>Investment strategy of AIF (</w:t>
            </w:r>
            <w:r w:rsidRPr="0059589B">
              <w:rPr>
                <w:i/>
                <w:sz w:val="18"/>
                <w:szCs w:val="18"/>
              </w:rPr>
              <w:t>predominant AIF type</w:t>
            </w:r>
            <w:r w:rsidRPr="0059589B">
              <w:rPr>
                <w:sz w:val="18"/>
                <w:szCs w:val="18"/>
              </w:rPr>
              <w:t xml:space="preserve"> and </w:t>
            </w:r>
            <w:r w:rsidRPr="0059589B">
              <w:rPr>
                <w:i/>
                <w:sz w:val="18"/>
                <w:szCs w:val="18"/>
              </w:rPr>
              <w:t>breakdown of investment strategies</w:t>
            </w:r>
            <w:r w:rsidRPr="0059589B">
              <w:rPr>
                <w:sz w:val="18"/>
                <w:szCs w:val="18"/>
              </w:rPr>
              <w:t>)</w:t>
            </w:r>
            <w:r w:rsidRPr="0059589B">
              <w:rPr>
                <w:rStyle w:val="FootnoteReference"/>
              </w:rPr>
              <w:footnoteReference w:id="5"/>
            </w:r>
          </w:p>
        </w:tc>
      </w:tr>
      <w:tr w:rsidR="007C3B45" w:rsidRPr="0059589B" w:rsidTr="0051254A">
        <w:trPr>
          <w:cantSplit/>
          <w:trHeight w:val="246"/>
        </w:trPr>
        <w:tc>
          <w:tcPr>
            <w:tcW w:w="869" w:type="pct"/>
            <w:tcBorders>
              <w:top w:val="single" w:sz="18" w:space="0" w:color="auto"/>
            </w:tcBorders>
            <w:shd w:val="clear" w:color="auto" w:fill="auto"/>
          </w:tcPr>
          <w:p w:rsidR="007C3B45" w:rsidRPr="0059589B" w:rsidRDefault="007C3B45" w:rsidP="0051254A">
            <w:pPr>
              <w:rPr>
                <w:sz w:val="18"/>
                <w:szCs w:val="18"/>
              </w:rPr>
            </w:pPr>
          </w:p>
        </w:tc>
        <w:tc>
          <w:tcPr>
            <w:tcW w:w="512" w:type="pct"/>
            <w:tcBorders>
              <w:top w:val="single" w:sz="18" w:space="0" w:color="auto"/>
            </w:tcBorders>
            <w:shd w:val="clear" w:color="auto" w:fill="auto"/>
          </w:tcPr>
          <w:p w:rsidR="007C3B45" w:rsidRPr="0059589B" w:rsidRDefault="007C3B45" w:rsidP="0051254A">
            <w:pPr>
              <w:rPr>
                <w:sz w:val="18"/>
                <w:szCs w:val="18"/>
              </w:rPr>
            </w:pPr>
          </w:p>
        </w:tc>
        <w:tc>
          <w:tcPr>
            <w:tcW w:w="392" w:type="pct"/>
            <w:tcBorders>
              <w:top w:val="single" w:sz="18" w:space="0" w:color="auto"/>
            </w:tcBorders>
            <w:shd w:val="clear" w:color="auto" w:fill="auto"/>
          </w:tcPr>
          <w:p w:rsidR="007C3B45" w:rsidRPr="0059589B" w:rsidRDefault="007C3B45" w:rsidP="0051254A">
            <w:pPr>
              <w:rPr>
                <w:sz w:val="18"/>
                <w:szCs w:val="18"/>
              </w:rPr>
            </w:pPr>
          </w:p>
        </w:tc>
        <w:tc>
          <w:tcPr>
            <w:tcW w:w="358" w:type="pct"/>
            <w:tcBorders>
              <w:top w:val="single" w:sz="18" w:space="0" w:color="auto"/>
            </w:tcBorders>
          </w:tcPr>
          <w:p w:rsidR="007C3B45" w:rsidRPr="0059589B" w:rsidRDefault="007C3B45" w:rsidP="0051254A">
            <w:pPr>
              <w:rPr>
                <w:sz w:val="18"/>
                <w:szCs w:val="18"/>
              </w:rPr>
            </w:pPr>
          </w:p>
        </w:tc>
        <w:tc>
          <w:tcPr>
            <w:tcW w:w="616" w:type="pct"/>
            <w:tcBorders>
              <w:top w:val="single" w:sz="18" w:space="0" w:color="auto"/>
            </w:tcBorders>
          </w:tcPr>
          <w:p w:rsidR="007C3B45" w:rsidRPr="0059589B" w:rsidRDefault="007C3B45" w:rsidP="0051254A">
            <w:pPr>
              <w:rPr>
                <w:sz w:val="18"/>
                <w:szCs w:val="18"/>
              </w:rPr>
            </w:pPr>
          </w:p>
        </w:tc>
        <w:tc>
          <w:tcPr>
            <w:tcW w:w="869" w:type="pct"/>
            <w:tcBorders>
              <w:top w:val="single" w:sz="18" w:space="0" w:color="auto"/>
            </w:tcBorders>
            <w:shd w:val="clear" w:color="auto" w:fill="auto"/>
          </w:tcPr>
          <w:p w:rsidR="007C3B45" w:rsidRPr="0059589B" w:rsidRDefault="007C3B45" w:rsidP="0051254A">
            <w:pPr>
              <w:rPr>
                <w:sz w:val="18"/>
                <w:szCs w:val="18"/>
              </w:rPr>
            </w:pPr>
          </w:p>
        </w:tc>
        <w:tc>
          <w:tcPr>
            <w:tcW w:w="636" w:type="pct"/>
            <w:tcBorders>
              <w:top w:val="single" w:sz="18" w:space="0" w:color="auto"/>
            </w:tcBorders>
            <w:shd w:val="clear" w:color="auto" w:fill="auto"/>
          </w:tcPr>
          <w:p w:rsidR="007C3B45" w:rsidRPr="0059589B" w:rsidRDefault="007C3B45" w:rsidP="0051254A">
            <w:pPr>
              <w:rPr>
                <w:sz w:val="18"/>
                <w:szCs w:val="18"/>
              </w:rPr>
            </w:pPr>
          </w:p>
        </w:tc>
        <w:tc>
          <w:tcPr>
            <w:tcW w:w="748" w:type="pct"/>
            <w:tcBorders>
              <w:top w:val="single" w:sz="18" w:space="0" w:color="auto"/>
            </w:tcBorders>
            <w:shd w:val="clear" w:color="auto" w:fill="auto"/>
          </w:tcPr>
          <w:p w:rsidR="007C3B45" w:rsidRPr="0059589B" w:rsidRDefault="007C3B45" w:rsidP="0051254A">
            <w:pPr>
              <w:rPr>
                <w:sz w:val="18"/>
                <w:szCs w:val="18"/>
              </w:rPr>
            </w:pPr>
          </w:p>
        </w:tc>
      </w:tr>
      <w:tr w:rsidR="007C3B45" w:rsidRPr="0059589B" w:rsidTr="0051254A">
        <w:trPr>
          <w:cantSplit/>
        </w:trPr>
        <w:tc>
          <w:tcPr>
            <w:tcW w:w="869" w:type="pct"/>
            <w:shd w:val="clear" w:color="auto" w:fill="auto"/>
          </w:tcPr>
          <w:p w:rsidR="007C3B45" w:rsidRPr="0059589B" w:rsidRDefault="007C3B45" w:rsidP="0051254A">
            <w:pPr>
              <w:rPr>
                <w:sz w:val="18"/>
                <w:szCs w:val="18"/>
              </w:rPr>
            </w:pPr>
          </w:p>
        </w:tc>
        <w:tc>
          <w:tcPr>
            <w:tcW w:w="512" w:type="pct"/>
            <w:shd w:val="clear" w:color="auto" w:fill="auto"/>
          </w:tcPr>
          <w:p w:rsidR="007C3B45" w:rsidRPr="0059589B" w:rsidRDefault="007C3B45" w:rsidP="0051254A">
            <w:pPr>
              <w:rPr>
                <w:sz w:val="18"/>
                <w:szCs w:val="18"/>
              </w:rPr>
            </w:pPr>
          </w:p>
        </w:tc>
        <w:tc>
          <w:tcPr>
            <w:tcW w:w="392" w:type="pct"/>
            <w:shd w:val="clear" w:color="auto" w:fill="auto"/>
          </w:tcPr>
          <w:p w:rsidR="007C3B45" w:rsidRPr="0059589B" w:rsidRDefault="007C3B45" w:rsidP="0051254A">
            <w:pPr>
              <w:rPr>
                <w:sz w:val="18"/>
                <w:szCs w:val="18"/>
              </w:rPr>
            </w:pPr>
          </w:p>
        </w:tc>
        <w:tc>
          <w:tcPr>
            <w:tcW w:w="358" w:type="pct"/>
          </w:tcPr>
          <w:p w:rsidR="007C3B45" w:rsidRPr="0059589B" w:rsidRDefault="007C3B45" w:rsidP="0051254A">
            <w:pPr>
              <w:rPr>
                <w:sz w:val="18"/>
                <w:szCs w:val="18"/>
              </w:rPr>
            </w:pPr>
          </w:p>
        </w:tc>
        <w:tc>
          <w:tcPr>
            <w:tcW w:w="616" w:type="pct"/>
          </w:tcPr>
          <w:p w:rsidR="007C3B45" w:rsidRPr="0059589B" w:rsidRDefault="007C3B45" w:rsidP="0051254A">
            <w:pPr>
              <w:rPr>
                <w:sz w:val="18"/>
                <w:szCs w:val="18"/>
              </w:rPr>
            </w:pPr>
          </w:p>
        </w:tc>
        <w:tc>
          <w:tcPr>
            <w:tcW w:w="869" w:type="pct"/>
            <w:shd w:val="clear" w:color="auto" w:fill="auto"/>
          </w:tcPr>
          <w:p w:rsidR="007C3B45" w:rsidRPr="0059589B" w:rsidRDefault="007C3B45" w:rsidP="0051254A">
            <w:pPr>
              <w:rPr>
                <w:sz w:val="18"/>
                <w:szCs w:val="18"/>
              </w:rPr>
            </w:pPr>
          </w:p>
        </w:tc>
        <w:tc>
          <w:tcPr>
            <w:tcW w:w="636" w:type="pct"/>
            <w:shd w:val="clear" w:color="auto" w:fill="auto"/>
          </w:tcPr>
          <w:p w:rsidR="007C3B45" w:rsidRPr="0059589B" w:rsidRDefault="007C3B45" w:rsidP="0051254A">
            <w:pPr>
              <w:rPr>
                <w:sz w:val="18"/>
                <w:szCs w:val="18"/>
              </w:rPr>
            </w:pPr>
          </w:p>
        </w:tc>
        <w:tc>
          <w:tcPr>
            <w:tcW w:w="748" w:type="pct"/>
            <w:shd w:val="clear" w:color="auto" w:fill="auto"/>
          </w:tcPr>
          <w:p w:rsidR="007C3B45" w:rsidRPr="0059589B" w:rsidRDefault="007C3B45" w:rsidP="0051254A">
            <w:pPr>
              <w:rPr>
                <w:sz w:val="18"/>
                <w:szCs w:val="18"/>
              </w:rPr>
            </w:pPr>
          </w:p>
        </w:tc>
      </w:tr>
      <w:tr w:rsidR="007C3B45" w:rsidRPr="0059589B" w:rsidTr="0051254A">
        <w:trPr>
          <w:cantSplit/>
        </w:trPr>
        <w:tc>
          <w:tcPr>
            <w:tcW w:w="869" w:type="pct"/>
            <w:shd w:val="clear" w:color="auto" w:fill="auto"/>
          </w:tcPr>
          <w:p w:rsidR="007C3B45" w:rsidRPr="0059589B" w:rsidRDefault="007C3B45" w:rsidP="0051254A">
            <w:pPr>
              <w:rPr>
                <w:sz w:val="18"/>
                <w:szCs w:val="18"/>
              </w:rPr>
            </w:pPr>
          </w:p>
        </w:tc>
        <w:tc>
          <w:tcPr>
            <w:tcW w:w="512" w:type="pct"/>
            <w:shd w:val="clear" w:color="auto" w:fill="auto"/>
          </w:tcPr>
          <w:p w:rsidR="007C3B45" w:rsidRPr="0059589B" w:rsidRDefault="007C3B45" w:rsidP="0051254A">
            <w:pPr>
              <w:rPr>
                <w:sz w:val="18"/>
                <w:szCs w:val="18"/>
              </w:rPr>
            </w:pPr>
          </w:p>
        </w:tc>
        <w:tc>
          <w:tcPr>
            <w:tcW w:w="392" w:type="pct"/>
            <w:shd w:val="clear" w:color="auto" w:fill="auto"/>
          </w:tcPr>
          <w:p w:rsidR="007C3B45" w:rsidRPr="0059589B" w:rsidRDefault="007C3B45" w:rsidP="0051254A">
            <w:pPr>
              <w:rPr>
                <w:sz w:val="18"/>
                <w:szCs w:val="18"/>
              </w:rPr>
            </w:pPr>
          </w:p>
        </w:tc>
        <w:tc>
          <w:tcPr>
            <w:tcW w:w="358" w:type="pct"/>
          </w:tcPr>
          <w:p w:rsidR="007C3B45" w:rsidRPr="0059589B" w:rsidRDefault="007C3B45" w:rsidP="0051254A">
            <w:pPr>
              <w:rPr>
                <w:sz w:val="18"/>
                <w:szCs w:val="18"/>
              </w:rPr>
            </w:pPr>
          </w:p>
        </w:tc>
        <w:tc>
          <w:tcPr>
            <w:tcW w:w="616" w:type="pct"/>
          </w:tcPr>
          <w:p w:rsidR="007C3B45" w:rsidRPr="0059589B" w:rsidRDefault="007C3B45" w:rsidP="0051254A">
            <w:pPr>
              <w:rPr>
                <w:sz w:val="18"/>
                <w:szCs w:val="18"/>
              </w:rPr>
            </w:pPr>
          </w:p>
        </w:tc>
        <w:tc>
          <w:tcPr>
            <w:tcW w:w="869" w:type="pct"/>
            <w:shd w:val="clear" w:color="auto" w:fill="auto"/>
          </w:tcPr>
          <w:p w:rsidR="007C3B45" w:rsidRPr="0059589B" w:rsidRDefault="007C3B45" w:rsidP="0051254A">
            <w:pPr>
              <w:rPr>
                <w:sz w:val="18"/>
                <w:szCs w:val="18"/>
              </w:rPr>
            </w:pPr>
          </w:p>
        </w:tc>
        <w:tc>
          <w:tcPr>
            <w:tcW w:w="636" w:type="pct"/>
            <w:shd w:val="clear" w:color="auto" w:fill="auto"/>
          </w:tcPr>
          <w:p w:rsidR="007C3B45" w:rsidRPr="0059589B" w:rsidRDefault="007C3B45" w:rsidP="0051254A">
            <w:pPr>
              <w:rPr>
                <w:sz w:val="18"/>
                <w:szCs w:val="18"/>
              </w:rPr>
            </w:pPr>
          </w:p>
        </w:tc>
        <w:tc>
          <w:tcPr>
            <w:tcW w:w="748" w:type="pct"/>
            <w:shd w:val="clear" w:color="auto" w:fill="auto"/>
          </w:tcPr>
          <w:p w:rsidR="007C3B45" w:rsidRPr="0059589B" w:rsidRDefault="007C3B45" w:rsidP="0051254A">
            <w:pPr>
              <w:rPr>
                <w:sz w:val="18"/>
                <w:szCs w:val="18"/>
              </w:rPr>
            </w:pPr>
          </w:p>
        </w:tc>
      </w:tr>
    </w:tbl>
    <w:p w:rsidR="007C3B45" w:rsidRPr="0059589B" w:rsidRDefault="007C3B45" w:rsidP="007C3B45"/>
    <w:p w:rsidR="007C3B45" w:rsidRPr="0059589B" w:rsidRDefault="007C3B45" w:rsidP="007C3B45">
      <w:pPr>
        <w:spacing w:after="120"/>
      </w:pPr>
      <w:r w:rsidRPr="0059589B">
        <w:t>Information on the arrangements established to prevent units or shares of the AIF from being marketed to retail investors, including in the case where the AIFM relies on activities of independent entities to provide investment services in respect of the AIF:</w:t>
      </w:r>
    </w:p>
    <w:p w:rsidR="002436BE" w:rsidRDefault="007C3B45" w:rsidP="007C3B45">
      <w:r w:rsidRPr="0059589B">
        <w:t>__________________________________________________________________________________________________________________________________________________________________</w:t>
      </w:r>
    </w:p>
    <w:sectPr w:rsidR="002436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C6" w:rsidRDefault="002512C6" w:rsidP="007C3B45">
      <w:r>
        <w:separator/>
      </w:r>
    </w:p>
  </w:endnote>
  <w:endnote w:type="continuationSeparator" w:id="0">
    <w:p w:rsidR="002512C6" w:rsidRDefault="002512C6" w:rsidP="007C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C6" w:rsidRDefault="002512C6" w:rsidP="007C3B45">
      <w:r>
        <w:separator/>
      </w:r>
    </w:p>
  </w:footnote>
  <w:footnote w:type="continuationSeparator" w:id="0">
    <w:p w:rsidR="002512C6" w:rsidRDefault="002512C6" w:rsidP="007C3B45">
      <w:r>
        <w:continuationSeparator/>
      </w:r>
    </w:p>
  </w:footnote>
  <w:footnote w:id="1">
    <w:p w:rsidR="007C3B45" w:rsidRPr="00FD598B" w:rsidRDefault="007C3B45" w:rsidP="007C3B45">
      <w:pPr>
        <w:pStyle w:val="FootnoteText"/>
        <w:rPr>
          <w:rFonts w:ascii="Arial" w:hAnsi="Arial" w:cs="Arial"/>
        </w:rPr>
      </w:pPr>
      <w:r w:rsidRPr="002E3877">
        <w:rPr>
          <w:rStyle w:val="FootnoteReference"/>
          <w:rFonts w:ascii="Arial" w:hAnsi="Arial" w:cs="Arial"/>
        </w:rPr>
        <w:footnoteRef/>
      </w:r>
      <w:r w:rsidRPr="002E3877">
        <w:rPr>
          <w:rFonts w:ascii="Arial" w:hAnsi="Arial" w:cs="Arial"/>
        </w:rPr>
        <w:t xml:space="preserve"> </w:t>
      </w:r>
      <w:r>
        <w:rPr>
          <w:rFonts w:ascii="Arial" w:hAnsi="Arial" w:cs="Arial"/>
        </w:rPr>
        <w:t xml:space="preserve">Where </w:t>
      </w:r>
      <w:r w:rsidRPr="00FD598B">
        <w:rPr>
          <w:rFonts w:ascii="Arial" w:hAnsi="Arial" w:cs="Arial"/>
        </w:rPr>
        <w:t xml:space="preserve">the AIF </w:t>
      </w:r>
      <w:r>
        <w:rPr>
          <w:rFonts w:ascii="Arial" w:hAnsi="Arial" w:cs="Arial"/>
        </w:rPr>
        <w:t xml:space="preserve">is </w:t>
      </w:r>
      <w:r w:rsidRPr="00FD598B">
        <w:rPr>
          <w:rFonts w:ascii="Arial" w:hAnsi="Arial" w:cs="Arial"/>
        </w:rPr>
        <w:t>an umbrella AIF with multiple compartments</w:t>
      </w:r>
      <w:r>
        <w:rPr>
          <w:rFonts w:ascii="Arial" w:hAnsi="Arial" w:cs="Arial"/>
        </w:rPr>
        <w:t>, please</w:t>
      </w:r>
      <w:r w:rsidRPr="00FD598B">
        <w:rPr>
          <w:rFonts w:ascii="Arial" w:hAnsi="Arial" w:cs="Arial"/>
        </w:rPr>
        <w:t xml:space="preserve"> only indicate the name of the compartments.</w:t>
      </w:r>
    </w:p>
  </w:footnote>
  <w:footnote w:id="2">
    <w:p w:rsidR="007C3B45" w:rsidRPr="00FD598B" w:rsidRDefault="007C3B45" w:rsidP="007C3B45">
      <w:pPr>
        <w:pStyle w:val="FootnoteText"/>
        <w:rPr>
          <w:rFonts w:ascii="Arial" w:hAnsi="Arial" w:cs="Arial"/>
        </w:rPr>
      </w:pPr>
      <w:r w:rsidRPr="00FD598B">
        <w:rPr>
          <w:rStyle w:val="FootnoteReference"/>
          <w:rFonts w:ascii="Arial" w:hAnsi="Arial" w:cs="Arial"/>
        </w:rPr>
        <w:footnoteRef/>
      </w:r>
      <w:r w:rsidRPr="00FD598B">
        <w:rPr>
          <w:rFonts w:ascii="Arial" w:hAnsi="Arial" w:cs="Arial"/>
        </w:rPr>
        <w:t xml:space="preserve"> </w:t>
      </w:r>
      <w:r>
        <w:rPr>
          <w:rFonts w:ascii="Arial" w:hAnsi="Arial" w:cs="Arial"/>
        </w:rPr>
        <w:t>Options are</w:t>
      </w:r>
      <w:r w:rsidRPr="00FD598B">
        <w:rPr>
          <w:rFonts w:ascii="Arial" w:hAnsi="Arial" w:cs="Arial"/>
        </w:rPr>
        <w:t>: common fund, unit trust, investment company, partnership, other</w:t>
      </w:r>
      <w:r>
        <w:rPr>
          <w:rFonts w:ascii="Arial" w:hAnsi="Arial" w:cs="Arial"/>
        </w:rPr>
        <w:t>.</w:t>
      </w:r>
    </w:p>
  </w:footnote>
  <w:footnote w:id="3">
    <w:p w:rsidR="007C3B45" w:rsidRPr="006B4250" w:rsidRDefault="007C3B45" w:rsidP="007C3B45">
      <w:pPr>
        <w:pStyle w:val="FootnoteText"/>
        <w:rPr>
          <w:rFonts w:ascii="Arial" w:hAnsi="Arial" w:cs="Arial"/>
        </w:rPr>
      </w:pPr>
      <w:r w:rsidRPr="006B4250">
        <w:rPr>
          <w:rStyle w:val="FootnoteReference"/>
          <w:rFonts w:ascii="Arial" w:hAnsi="Arial" w:cs="Arial"/>
        </w:rPr>
        <w:footnoteRef/>
      </w:r>
      <w:r w:rsidRPr="006B4250">
        <w:rPr>
          <w:rFonts w:ascii="Arial" w:hAnsi="Arial" w:cs="Arial"/>
        </w:rPr>
        <w:t xml:space="preserve"> </w:t>
      </w:r>
      <w:r>
        <w:rPr>
          <w:rFonts w:ascii="Arial" w:hAnsi="Arial" w:cs="Arial"/>
        </w:rPr>
        <w:t>Options are: open-ended, closed-ended.</w:t>
      </w:r>
    </w:p>
  </w:footnote>
  <w:footnote w:id="4">
    <w:p w:rsidR="007C3B45" w:rsidRPr="00FD598B" w:rsidRDefault="007C3B45" w:rsidP="007C3B45">
      <w:pPr>
        <w:pStyle w:val="FootnoteText"/>
        <w:rPr>
          <w:rFonts w:ascii="Arial" w:hAnsi="Arial" w:cs="Arial"/>
        </w:rPr>
      </w:pPr>
      <w:r w:rsidRPr="00FD598B">
        <w:rPr>
          <w:rStyle w:val="FootnoteReference"/>
          <w:rFonts w:ascii="Arial" w:hAnsi="Arial" w:cs="Arial"/>
        </w:rPr>
        <w:footnoteRef/>
      </w:r>
      <w:r w:rsidRPr="00FD598B">
        <w:rPr>
          <w:rFonts w:ascii="Arial" w:hAnsi="Arial" w:cs="Arial"/>
        </w:rPr>
        <w:t xml:space="preserve"> Information on the depositary of the AIF should include the </w:t>
      </w:r>
      <w:r>
        <w:rPr>
          <w:rFonts w:ascii="Arial" w:hAnsi="Arial" w:cs="Arial"/>
        </w:rPr>
        <w:t xml:space="preserve">name and </w:t>
      </w:r>
      <w:r w:rsidRPr="00FD598B">
        <w:rPr>
          <w:rFonts w:ascii="Arial" w:hAnsi="Arial" w:cs="Arial"/>
        </w:rPr>
        <w:t>address of the depositary.</w:t>
      </w:r>
    </w:p>
  </w:footnote>
  <w:footnote w:id="5">
    <w:p w:rsidR="007C3B45" w:rsidRPr="002E3877" w:rsidRDefault="007C3B45" w:rsidP="007C3B45">
      <w:pPr>
        <w:pStyle w:val="FootnoteText"/>
        <w:rPr>
          <w:rFonts w:ascii="Arial" w:hAnsi="Arial" w:cs="Arial"/>
        </w:rPr>
      </w:pPr>
      <w:r w:rsidRPr="00FD598B">
        <w:rPr>
          <w:rStyle w:val="FootnoteReference"/>
          <w:rFonts w:ascii="Arial" w:hAnsi="Arial" w:cs="Arial"/>
        </w:rPr>
        <w:footnoteRef/>
      </w:r>
      <w:r w:rsidRPr="00FD598B">
        <w:rPr>
          <w:rFonts w:ascii="Arial" w:hAnsi="Arial" w:cs="Arial"/>
        </w:rPr>
        <w:t xml:space="preserve"> Please specify the </w:t>
      </w:r>
      <w:r w:rsidRPr="00FD598B">
        <w:rPr>
          <w:rFonts w:ascii="Arial" w:hAnsi="Arial" w:cs="Arial"/>
          <w:i/>
        </w:rPr>
        <w:t>predominant AIF type</w:t>
      </w:r>
      <w:r w:rsidRPr="00FD598B">
        <w:rPr>
          <w:rFonts w:ascii="Arial" w:hAnsi="Arial" w:cs="Arial"/>
        </w:rPr>
        <w:t xml:space="preserve"> and the </w:t>
      </w:r>
      <w:r w:rsidRPr="00FD598B">
        <w:rPr>
          <w:rFonts w:ascii="Arial" w:hAnsi="Arial" w:cs="Arial"/>
          <w:i/>
        </w:rPr>
        <w:t>breakdown of investment strategies</w:t>
      </w:r>
      <w:r w:rsidRPr="00FD598B">
        <w:rPr>
          <w:rFonts w:ascii="Arial" w:hAnsi="Arial" w:cs="Arial"/>
        </w:rPr>
        <w:t xml:space="preserve"> as set out in the AIF reporting template included in Annex IV of Commission Regulation (EU) No. 231/2013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BB"/>
    <w:rsid w:val="002436BE"/>
    <w:rsid w:val="002512C6"/>
    <w:rsid w:val="007C3B45"/>
    <w:rsid w:val="00B854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23AB"/>
  <w15:chartTrackingRefBased/>
  <w15:docId w15:val="{481197B6-49C6-43DC-AAC0-955ECC2E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4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rPr>
  </w:style>
  <w:style w:type="paragraph" w:styleId="Heading1">
    <w:name w:val="heading 1"/>
    <w:basedOn w:val="Normal"/>
    <w:link w:val="Heading1Char"/>
    <w:uiPriority w:val="9"/>
    <w:qFormat/>
    <w:rsid w:val="007C3B45"/>
    <w:pPr>
      <w:widowControl/>
      <w:suppressAutoHyphens w:val="0"/>
      <w:autoSpaceDN/>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B45"/>
    <w:rPr>
      <w:rFonts w:ascii="Times New Roman" w:eastAsia="Times New Roman" w:hAnsi="Times New Roman" w:cs="Times New Roman"/>
      <w:b/>
      <w:bCs/>
      <w:kern w:val="36"/>
      <w:sz w:val="48"/>
      <w:szCs w:val="48"/>
      <w:lang w:val="en-US"/>
    </w:rPr>
  </w:style>
  <w:style w:type="paragraph" w:styleId="FootnoteText">
    <w:name w:val="footnote text"/>
    <w:aliases w:val="Schriftart: 9 pt,Schriftart: 10 pt,Schriftart: 8 pt,WB-Fußnotentext,Reference,Fußnote,fn,Footnote Text Char2,Footnote Text Char Char1,Footnote Text Char1 Char Char,Footnote Text Char Char Char Char, Char Char Char Char Char,Ch,Char"/>
    <w:basedOn w:val="Normal"/>
    <w:link w:val="FootnoteTextChar"/>
    <w:uiPriority w:val="99"/>
    <w:qFormat/>
    <w:rsid w:val="007C3B45"/>
    <w:pPr>
      <w:widowControl/>
    </w:pPr>
    <w:rPr>
      <w:rFonts w:ascii="Century Schoolbook" w:hAnsi="Century Schoolbook" w:cs="Century Schoolbook"/>
      <w:color w:val="000000"/>
    </w:rPr>
  </w:style>
  <w:style w:type="character" w:customStyle="1" w:styleId="FootnoteTextChar">
    <w:name w:val="Footnote Text Char"/>
    <w:aliases w:val="Schriftart: 9 pt Char,Schriftart: 10 pt Char,Schriftart: 8 pt Char,WB-Fußnotentext Char,Reference Char,Fußnote Char,fn Char,Footnote Text Char2 Char,Footnote Text Char Char1 Char,Footnote Text Char1 Char Char Char,Ch Char,Char Char"/>
    <w:basedOn w:val="DefaultParagraphFont"/>
    <w:link w:val="FootnoteText"/>
    <w:uiPriority w:val="99"/>
    <w:rsid w:val="007C3B45"/>
    <w:rPr>
      <w:rFonts w:ascii="Century Schoolbook" w:eastAsia="Times New Roman" w:hAnsi="Century Schoolbook" w:cs="Century Schoolbook"/>
      <w:color w:val="000000"/>
      <w:kern w:val="3"/>
      <w:sz w:val="20"/>
      <w:szCs w:val="20"/>
      <w:lang w:val="en-US"/>
    </w:rPr>
  </w:style>
  <w:style w:type="character" w:styleId="FootnoteReference">
    <w:name w:val="footnote reference"/>
    <w:aliases w:val="Footnote symbol,Footnote Reference Number,Footnote Reference_LVL6,Footnote Reference_LVL61,Footnote Reference_LVL62,Footnote Reference_LVL63,Footnote Reference_LVL64,Fußnotenzeichen3,16 Point,Superscript 6 Point,Footnote call"/>
    <w:basedOn w:val="DefaultParagraphFont"/>
    <w:uiPriority w:val="99"/>
    <w:qFormat/>
    <w:rsid w:val="007C3B45"/>
    <w:rPr>
      <w:position w:val="0"/>
      <w:vertAlign w:val="superscript"/>
    </w:rPr>
  </w:style>
  <w:style w:type="paragraph" w:styleId="Title">
    <w:name w:val="Title"/>
    <w:basedOn w:val="Normal"/>
    <w:next w:val="Normal"/>
    <w:link w:val="TitleChar"/>
    <w:uiPriority w:val="10"/>
    <w:rsid w:val="007C3B45"/>
    <w:pPr>
      <w:widowControl/>
      <w:suppressAutoHyphens w:val="0"/>
      <w:autoSpaceDN/>
      <w:spacing w:after="250" w:line="276" w:lineRule="auto"/>
      <w:contextualSpacing/>
      <w:textAlignment w:val="auto"/>
    </w:pPr>
    <w:rPr>
      <w:rFonts w:asciiTheme="majorHAnsi" w:eastAsiaTheme="majorEastAsia" w:hAnsiTheme="majorHAnsi" w:cstheme="majorBidi"/>
      <w:b/>
      <w:color w:val="2F5496" w:themeColor="accent5" w:themeShade="BF"/>
      <w:spacing w:val="-10"/>
      <w:kern w:val="0"/>
      <w:sz w:val="28"/>
      <w:szCs w:val="56"/>
      <w:lang w:val="en-GB"/>
    </w:rPr>
  </w:style>
  <w:style w:type="character" w:customStyle="1" w:styleId="TitleChar">
    <w:name w:val="Title Char"/>
    <w:basedOn w:val="DefaultParagraphFont"/>
    <w:link w:val="Title"/>
    <w:uiPriority w:val="10"/>
    <w:rsid w:val="007C3B45"/>
    <w:rPr>
      <w:rFonts w:asciiTheme="majorHAnsi" w:eastAsiaTheme="majorEastAsia" w:hAnsiTheme="majorHAnsi" w:cstheme="majorBidi"/>
      <w:b/>
      <w:color w:val="2F5496" w:themeColor="accent5" w:themeShade="BF"/>
      <w:spacing w:val="-10"/>
      <w:sz w:val="28"/>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1763</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NITULESCU RoseMarie</dc:creator>
  <cp:keywords/>
  <dc:description/>
  <cp:lastModifiedBy>NITULESCU RoseMarie</cp:lastModifiedBy>
  <cp:revision>2</cp:revision>
  <dcterms:created xsi:type="dcterms:W3CDTF">2017-03-24T12:57:00Z</dcterms:created>
  <dcterms:modified xsi:type="dcterms:W3CDTF">2017-03-24T12:57:00Z</dcterms:modified>
</cp:coreProperties>
</file>