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92" w:rsidRDefault="00862C92" w:rsidP="00862C92">
      <w:pPr>
        <w:pStyle w:val="NormalWeb"/>
      </w:pPr>
    </w:p>
    <w:p w:rsidR="00702EA7" w:rsidRDefault="00702EA7" w:rsidP="008E4525">
      <w:pPr>
        <w:pStyle w:val="NormalWeb"/>
        <w:jc w:val="both"/>
        <w:rPr>
          <w:lang w:val="fr-FR"/>
        </w:rPr>
      </w:pPr>
      <w:r>
        <w:rPr>
          <w:noProof/>
          <w:lang w:val="ro-RO" w:eastAsia="ro-RO"/>
        </w:rPr>
        <w:drawing>
          <wp:inline distT="0" distB="0" distL="0" distR="0" wp14:anchorId="37949882" wp14:editId="5AAB8413">
            <wp:extent cx="5008880" cy="1250315"/>
            <wp:effectExtent l="0" t="0" r="1270" b="6985"/>
            <wp:docPr id="1" name="Picture 1" descr="http://www.bnr.ro/files/d/Comunicate/sigleCNSF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nr.ro/files/d/Comunicate/sigleCNSF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A7" w:rsidRPr="00702EA7" w:rsidRDefault="00702EA7" w:rsidP="00702EA7">
      <w:pPr>
        <w:pStyle w:val="NormalWeb"/>
        <w:rPr>
          <w:b/>
        </w:rPr>
      </w:pPr>
      <w:r w:rsidRPr="00702EA7">
        <w:rPr>
          <w:b/>
        </w:rPr>
        <w:t>COMUNICAT</w:t>
      </w:r>
    </w:p>
    <w:p w:rsidR="00862C92" w:rsidRPr="00B9656D" w:rsidRDefault="00091CAC" w:rsidP="008E4525">
      <w:pPr>
        <w:pStyle w:val="NormalWeb"/>
        <w:jc w:val="both"/>
        <w:rPr>
          <w:lang w:val="fr-FR"/>
        </w:rPr>
      </w:pPr>
      <w:r w:rsidRPr="00B9656D">
        <w:rPr>
          <w:lang w:val="fr-FR"/>
        </w:rPr>
        <w:t>În</w:t>
      </w:r>
      <w:r w:rsidR="00931E3C">
        <w:rPr>
          <w:lang w:val="fr-FR"/>
        </w:rPr>
        <w:t xml:space="preserve"> </w:t>
      </w:r>
      <w:r w:rsidR="00862C92" w:rsidRPr="00B9656D">
        <w:rPr>
          <w:lang w:val="fr-FR"/>
        </w:rPr>
        <w:t xml:space="preserve">data de </w:t>
      </w:r>
      <w:r w:rsidR="00EC1B95">
        <w:rPr>
          <w:lang w:val="fr-FR"/>
        </w:rPr>
        <w:t>18</w:t>
      </w:r>
      <w:r w:rsidR="00862C92" w:rsidRPr="00B9656D">
        <w:rPr>
          <w:lang w:val="fr-FR"/>
        </w:rPr>
        <w:t xml:space="preserve"> </w:t>
      </w:r>
      <w:r w:rsidR="00EC1B95">
        <w:rPr>
          <w:lang w:val="fr-FR"/>
        </w:rPr>
        <w:t>decembrie</w:t>
      </w:r>
      <w:r w:rsidR="00862C92" w:rsidRPr="00B9656D">
        <w:rPr>
          <w:lang w:val="fr-FR"/>
        </w:rPr>
        <w:t xml:space="preserve"> 201</w:t>
      </w:r>
      <w:r w:rsidR="004324B3" w:rsidRPr="00B9656D">
        <w:rPr>
          <w:lang w:val="fr-FR"/>
        </w:rPr>
        <w:t>5</w:t>
      </w:r>
      <w:r w:rsidR="00862C92" w:rsidRPr="00B9656D">
        <w:rPr>
          <w:lang w:val="fr-FR"/>
        </w:rPr>
        <w:t>, a avut</w:t>
      </w:r>
      <w:r w:rsidR="00EC1B95">
        <w:rPr>
          <w:lang w:val="fr-FR"/>
        </w:rPr>
        <w:t xml:space="preserve"> </w:t>
      </w:r>
      <w:r w:rsidR="00862C92" w:rsidRPr="00B9656D">
        <w:rPr>
          <w:lang w:val="fr-FR"/>
        </w:rPr>
        <w:t>loc</w:t>
      </w:r>
      <w:r w:rsidR="00EC1B95">
        <w:rPr>
          <w:lang w:val="fr-FR"/>
        </w:rPr>
        <w:t xml:space="preserve"> </w:t>
      </w:r>
      <w:r w:rsidR="00862C92" w:rsidRPr="00B9656D">
        <w:rPr>
          <w:lang w:val="fr-FR"/>
        </w:rPr>
        <w:t>şedinţa</w:t>
      </w:r>
      <w:r w:rsidR="00EC1B95">
        <w:rPr>
          <w:lang w:val="fr-FR"/>
        </w:rPr>
        <w:t xml:space="preserve"> </w:t>
      </w:r>
      <w:r w:rsidR="00862C92" w:rsidRPr="00B9656D">
        <w:rPr>
          <w:lang w:val="fr-FR"/>
        </w:rPr>
        <w:t>ordinarǎ</w:t>
      </w:r>
      <w:r w:rsidR="00EC1B95">
        <w:rPr>
          <w:lang w:val="fr-FR"/>
        </w:rPr>
        <w:t xml:space="preserve"> </w:t>
      </w:r>
      <w:r w:rsidR="00862C92" w:rsidRPr="00B9656D">
        <w:rPr>
          <w:lang w:val="fr-FR"/>
        </w:rPr>
        <w:t>a</w:t>
      </w:r>
      <w:r w:rsidR="00EC1B95">
        <w:rPr>
          <w:lang w:val="fr-FR"/>
        </w:rPr>
        <w:t xml:space="preserve"> </w:t>
      </w:r>
      <w:r w:rsidR="00862C92" w:rsidRPr="00B9656D">
        <w:rPr>
          <w:lang w:val="fr-FR"/>
        </w:rPr>
        <w:t>Comitetului</w:t>
      </w:r>
      <w:r w:rsidR="00EC1B95">
        <w:rPr>
          <w:lang w:val="fr-FR"/>
        </w:rPr>
        <w:t xml:space="preserve"> </w:t>
      </w:r>
      <w:r w:rsidR="00862C92" w:rsidRPr="00B9656D">
        <w:rPr>
          <w:lang w:val="fr-FR"/>
        </w:rPr>
        <w:t>Naţional</w:t>
      </w:r>
      <w:r w:rsidR="00EC1B95">
        <w:rPr>
          <w:lang w:val="fr-FR"/>
        </w:rPr>
        <w:t xml:space="preserve"> </w:t>
      </w:r>
      <w:r w:rsidR="00862C92" w:rsidRPr="00B9656D">
        <w:rPr>
          <w:lang w:val="fr-FR"/>
        </w:rPr>
        <w:t>pentru</w:t>
      </w:r>
      <w:r w:rsidR="00EC1B95">
        <w:rPr>
          <w:lang w:val="fr-FR"/>
        </w:rPr>
        <w:t xml:space="preserve"> </w:t>
      </w:r>
      <w:r w:rsidR="00862C92" w:rsidRPr="00B9656D">
        <w:rPr>
          <w:lang w:val="fr-FR"/>
        </w:rPr>
        <w:t>Stabilitate</w:t>
      </w:r>
      <w:r w:rsidR="00EC1B95">
        <w:rPr>
          <w:lang w:val="fr-FR"/>
        </w:rPr>
        <w:t xml:space="preserve"> </w:t>
      </w:r>
      <w:r w:rsidR="00862C92" w:rsidRPr="00B9656D">
        <w:rPr>
          <w:lang w:val="fr-FR"/>
        </w:rPr>
        <w:t xml:space="preserve">Financiarǎ (CNSF). </w:t>
      </w:r>
    </w:p>
    <w:p w:rsidR="00862C92" w:rsidRPr="00B9656D" w:rsidRDefault="00862C92" w:rsidP="008E4525">
      <w:pPr>
        <w:pStyle w:val="NormalWeb"/>
        <w:jc w:val="both"/>
        <w:rPr>
          <w:lang w:val="fr-FR"/>
        </w:rPr>
      </w:pPr>
      <w:r w:rsidRPr="00B9656D">
        <w:rPr>
          <w:lang w:val="fr-FR"/>
        </w:rPr>
        <w:t>La întâlnire au participat dl. Mugur Isărescu, Guvernatorul BNR şi</w:t>
      </w:r>
      <w:r w:rsidR="00EC1B95">
        <w:rPr>
          <w:lang w:val="fr-FR"/>
        </w:rPr>
        <w:t xml:space="preserve"> </w:t>
      </w:r>
      <w:r w:rsidRPr="00B9656D">
        <w:rPr>
          <w:lang w:val="fr-FR"/>
        </w:rPr>
        <w:t xml:space="preserve">Preşedinte al CNSF, dna. Anca </w:t>
      </w:r>
      <w:r w:rsidR="00253C33" w:rsidRPr="00B9656D">
        <w:rPr>
          <w:lang w:val="fr-FR"/>
        </w:rPr>
        <w:t>Dana Dragu</w:t>
      </w:r>
      <w:r w:rsidRPr="00B9656D">
        <w:rPr>
          <w:lang w:val="fr-FR"/>
        </w:rPr>
        <w:t>, Ministrul</w:t>
      </w:r>
      <w:r w:rsidR="00EC1B95">
        <w:rPr>
          <w:lang w:val="fr-FR"/>
        </w:rPr>
        <w:t xml:space="preserve"> </w:t>
      </w:r>
      <w:r w:rsidRPr="00B9656D">
        <w:rPr>
          <w:lang w:val="fr-FR"/>
        </w:rPr>
        <w:t>Finanţelor</w:t>
      </w:r>
      <w:r w:rsidR="00EC1B95">
        <w:rPr>
          <w:lang w:val="fr-FR"/>
        </w:rPr>
        <w:t xml:space="preserve"> </w:t>
      </w:r>
      <w:r w:rsidRPr="00B9656D">
        <w:rPr>
          <w:lang w:val="fr-FR"/>
        </w:rPr>
        <w:t>Publice, dl. Mi</w:t>
      </w:r>
      <w:r w:rsidRPr="00A9106A">
        <w:rPr>
          <w:lang w:val="ro-RO"/>
        </w:rPr>
        <w:t>șu Negrițoiu</w:t>
      </w:r>
      <w:r w:rsidRPr="00B9656D">
        <w:rPr>
          <w:lang w:val="fr-FR"/>
        </w:rPr>
        <w:t>, Preşedinte al Autorităţii de Supraveghere</w:t>
      </w:r>
      <w:r w:rsidR="00EC1B95">
        <w:rPr>
          <w:lang w:val="fr-FR"/>
        </w:rPr>
        <w:t xml:space="preserve"> </w:t>
      </w:r>
      <w:r w:rsidRPr="00B9656D">
        <w:rPr>
          <w:lang w:val="fr-FR"/>
        </w:rPr>
        <w:t>Financiară</w:t>
      </w:r>
      <w:r w:rsidR="00EC1B95">
        <w:rPr>
          <w:lang w:val="fr-FR"/>
        </w:rPr>
        <w:t xml:space="preserve"> </w:t>
      </w:r>
      <w:r w:rsidRPr="00B9656D">
        <w:rPr>
          <w:lang w:val="fr-FR"/>
        </w:rPr>
        <w:t xml:space="preserve">şi dl. </w:t>
      </w:r>
      <w:r w:rsidR="00EC1B95">
        <w:rPr>
          <w:lang w:val="fr-FR"/>
        </w:rPr>
        <w:t>Lucian Croitoru</w:t>
      </w:r>
      <w:r w:rsidRPr="00B9656D">
        <w:rPr>
          <w:lang w:val="fr-FR"/>
        </w:rPr>
        <w:t xml:space="preserve">, </w:t>
      </w:r>
      <w:r w:rsidR="00EC1B95">
        <w:rPr>
          <w:lang w:val="fr-FR"/>
        </w:rPr>
        <w:t>Președinte</w:t>
      </w:r>
      <w:r w:rsidRPr="00B9656D">
        <w:rPr>
          <w:lang w:val="fr-FR"/>
        </w:rPr>
        <w:t xml:space="preserve"> al </w:t>
      </w:r>
      <w:r w:rsidR="00EC1B95">
        <w:rPr>
          <w:lang w:val="fr-FR"/>
        </w:rPr>
        <w:t xml:space="preserve">Consiliului de Administrație al </w:t>
      </w:r>
      <w:r w:rsidRPr="00B9656D">
        <w:rPr>
          <w:lang w:val="fr-FR"/>
        </w:rPr>
        <w:t>Fondului de Garantare a Depozitelor</w:t>
      </w:r>
      <w:r w:rsidR="00EC1B95">
        <w:rPr>
          <w:lang w:val="fr-FR"/>
        </w:rPr>
        <w:t xml:space="preserve"> </w:t>
      </w:r>
      <w:r w:rsidRPr="00B9656D">
        <w:rPr>
          <w:lang w:val="fr-FR"/>
        </w:rPr>
        <w:t>în</w:t>
      </w:r>
      <w:r w:rsidR="00EC1B95">
        <w:rPr>
          <w:lang w:val="fr-FR"/>
        </w:rPr>
        <w:t xml:space="preserve"> </w:t>
      </w:r>
      <w:r w:rsidRPr="00B9656D">
        <w:rPr>
          <w:lang w:val="fr-FR"/>
        </w:rPr>
        <w:t>Sistemul</w:t>
      </w:r>
      <w:r w:rsidR="00EC1B95">
        <w:rPr>
          <w:lang w:val="fr-FR"/>
        </w:rPr>
        <w:t xml:space="preserve"> </w:t>
      </w:r>
      <w:r w:rsidRPr="00B9656D">
        <w:rPr>
          <w:lang w:val="fr-FR"/>
        </w:rPr>
        <w:t xml:space="preserve">Bancar. </w:t>
      </w:r>
    </w:p>
    <w:p w:rsidR="007D65CE" w:rsidRPr="00B9656D" w:rsidRDefault="004324B3" w:rsidP="00702EA7">
      <w:pPr>
        <w:pStyle w:val="NormalWeb"/>
        <w:spacing w:after="120" w:afterAutospacing="0"/>
        <w:jc w:val="both"/>
        <w:rPr>
          <w:lang w:val="fr-FR"/>
        </w:rPr>
      </w:pPr>
      <w:r w:rsidRPr="00B9656D">
        <w:rPr>
          <w:lang w:val="fr-FR"/>
        </w:rPr>
        <w:t>Potrivit</w:t>
      </w:r>
      <w:r w:rsidR="00EC1B95">
        <w:rPr>
          <w:lang w:val="fr-FR"/>
        </w:rPr>
        <w:t xml:space="preserve"> </w:t>
      </w:r>
      <w:r w:rsidR="008E4525" w:rsidRPr="00B9656D">
        <w:rPr>
          <w:lang w:val="fr-FR"/>
        </w:rPr>
        <w:t>atribuțiilor</w:t>
      </w:r>
      <w:r w:rsidR="007D65CE" w:rsidRPr="00B9656D">
        <w:rPr>
          <w:lang w:val="fr-FR"/>
        </w:rPr>
        <w:t xml:space="preserve"> de a adopta recomandări</w:t>
      </w:r>
      <w:r w:rsidR="00EC1B95">
        <w:rPr>
          <w:lang w:val="fr-FR"/>
        </w:rPr>
        <w:t xml:space="preserve"> </w:t>
      </w:r>
      <w:r w:rsidR="007D65CE" w:rsidRPr="00B9656D">
        <w:rPr>
          <w:lang w:val="fr-FR"/>
        </w:rPr>
        <w:t>și,</w:t>
      </w:r>
      <w:r w:rsidR="00EC1B95">
        <w:rPr>
          <w:lang w:val="fr-FR"/>
        </w:rPr>
        <w:t xml:space="preserve"> </w:t>
      </w:r>
      <w:r w:rsidR="003E535B" w:rsidRPr="00B9656D">
        <w:rPr>
          <w:lang w:val="fr-FR"/>
        </w:rPr>
        <w:t>respectiv, opinii consultative, pe</w:t>
      </w:r>
      <w:r w:rsidR="00EC1B95">
        <w:rPr>
          <w:lang w:val="fr-FR"/>
        </w:rPr>
        <w:t xml:space="preserve"> </w:t>
      </w:r>
      <w:r w:rsidR="003E535B" w:rsidRPr="00B9656D">
        <w:rPr>
          <w:lang w:val="fr-FR"/>
        </w:rPr>
        <w:t>perioada</w:t>
      </w:r>
      <w:r w:rsidR="00EC1B95">
        <w:rPr>
          <w:lang w:val="fr-FR"/>
        </w:rPr>
        <w:t xml:space="preserve"> </w:t>
      </w:r>
      <w:r w:rsidR="003E535B" w:rsidRPr="00B9656D">
        <w:rPr>
          <w:lang w:val="fr-FR"/>
        </w:rPr>
        <w:t>tranzitorie</w:t>
      </w:r>
      <w:r w:rsidR="00EC1B95">
        <w:rPr>
          <w:lang w:val="fr-FR"/>
        </w:rPr>
        <w:t xml:space="preserve"> </w:t>
      </w:r>
      <w:r w:rsidR="003E535B" w:rsidRPr="00B9656D">
        <w:rPr>
          <w:lang w:val="fr-FR"/>
        </w:rPr>
        <w:t>până la operaţionalizarea</w:t>
      </w:r>
      <w:r w:rsidR="00EC1B95">
        <w:rPr>
          <w:lang w:val="fr-FR"/>
        </w:rPr>
        <w:t xml:space="preserve"> </w:t>
      </w:r>
      <w:r w:rsidR="003E535B" w:rsidRPr="00B9656D">
        <w:rPr>
          <w:lang w:val="fr-FR"/>
        </w:rPr>
        <w:t>structurii inter-instituţionale de coordonare</w:t>
      </w:r>
      <w:r w:rsidR="00EC1B95">
        <w:rPr>
          <w:lang w:val="fr-FR"/>
        </w:rPr>
        <w:t xml:space="preserve"> </w:t>
      </w:r>
      <w:r w:rsidR="003E535B" w:rsidRPr="00B9656D">
        <w:rPr>
          <w:lang w:val="fr-FR"/>
        </w:rPr>
        <w:t>în</w:t>
      </w:r>
      <w:r w:rsidR="00EC1B95">
        <w:rPr>
          <w:lang w:val="fr-FR"/>
        </w:rPr>
        <w:t xml:space="preserve"> </w:t>
      </w:r>
      <w:r w:rsidR="003E535B" w:rsidRPr="00B9656D">
        <w:rPr>
          <w:lang w:val="fr-FR"/>
        </w:rPr>
        <w:t>domeniul</w:t>
      </w:r>
      <w:r w:rsidR="00EC1B95">
        <w:rPr>
          <w:lang w:val="fr-FR"/>
        </w:rPr>
        <w:t xml:space="preserve"> </w:t>
      </w:r>
      <w:r w:rsidR="003E535B" w:rsidRPr="00B9656D">
        <w:rPr>
          <w:lang w:val="fr-FR"/>
        </w:rPr>
        <w:t>supravegherii</w:t>
      </w:r>
      <w:r w:rsidR="00EC1B95">
        <w:rPr>
          <w:lang w:val="fr-FR"/>
        </w:rPr>
        <w:t xml:space="preserve"> </w:t>
      </w:r>
      <w:r w:rsidR="003E535B" w:rsidRPr="00B9656D">
        <w:rPr>
          <w:lang w:val="fr-FR"/>
        </w:rPr>
        <w:t>macroprudenţiale a sistemului</w:t>
      </w:r>
      <w:r w:rsidR="00EC1B95">
        <w:rPr>
          <w:lang w:val="fr-FR"/>
        </w:rPr>
        <w:t xml:space="preserve"> </w:t>
      </w:r>
      <w:r w:rsidR="003E535B" w:rsidRPr="00B9656D">
        <w:rPr>
          <w:lang w:val="fr-FR"/>
        </w:rPr>
        <w:t>financiar</w:t>
      </w:r>
      <w:r w:rsidR="00EC1B95">
        <w:rPr>
          <w:lang w:val="fr-FR"/>
        </w:rPr>
        <w:t xml:space="preserve"> </w:t>
      </w:r>
      <w:r w:rsidR="003E535B" w:rsidRPr="00B9656D">
        <w:rPr>
          <w:lang w:val="fr-FR"/>
        </w:rPr>
        <w:t>naţional (</w:t>
      </w:r>
      <w:r w:rsidR="007D65CE" w:rsidRPr="00B9656D">
        <w:rPr>
          <w:lang w:val="fr-FR"/>
        </w:rPr>
        <w:t>art.126</w:t>
      </w:r>
      <w:r w:rsidR="007D65CE" w:rsidRPr="00B9656D">
        <w:rPr>
          <w:vertAlign w:val="superscript"/>
          <w:lang w:val="fr-FR"/>
        </w:rPr>
        <w:t>1</w:t>
      </w:r>
      <w:r w:rsidR="00931E3C">
        <w:rPr>
          <w:vertAlign w:val="superscript"/>
          <w:lang w:val="fr-FR"/>
        </w:rPr>
        <w:t xml:space="preserve"> </w:t>
      </w:r>
      <w:r w:rsidR="007D65CE" w:rsidRPr="00B9656D">
        <w:rPr>
          <w:lang w:val="fr-FR"/>
        </w:rPr>
        <w:t>din</w:t>
      </w:r>
      <w:r w:rsidR="00931E3C">
        <w:rPr>
          <w:lang w:val="fr-FR"/>
        </w:rPr>
        <w:t xml:space="preserve"> </w:t>
      </w:r>
      <w:r w:rsidR="008E4525" w:rsidRPr="00B9656D">
        <w:rPr>
          <w:i/>
          <w:iCs/>
          <w:lang w:val="fr-FR"/>
        </w:rPr>
        <w:t>Ordonanţ</w:t>
      </w:r>
      <w:r w:rsidR="00D50185" w:rsidRPr="00B9656D">
        <w:rPr>
          <w:i/>
          <w:iCs/>
          <w:lang w:val="fr-FR"/>
        </w:rPr>
        <w:t>a</w:t>
      </w:r>
      <w:r w:rsidR="008E4525" w:rsidRPr="00B9656D">
        <w:rPr>
          <w:i/>
          <w:iCs/>
          <w:lang w:val="fr-FR"/>
        </w:rPr>
        <w:t xml:space="preserve"> de urgenţă a Guvernului nr. 99/2006 privind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instituţiile de credit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şi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adecvarea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capitalului, aprobată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cu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modificări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şi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completări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prin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Legea nr.227/2007, cu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modificările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şi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completările</w:t>
      </w:r>
      <w:r w:rsidR="00EC1B95">
        <w:rPr>
          <w:i/>
          <w:iCs/>
          <w:lang w:val="fr-FR"/>
        </w:rPr>
        <w:t xml:space="preserve"> </w:t>
      </w:r>
      <w:r w:rsidR="008E4525" w:rsidRPr="00B9656D">
        <w:rPr>
          <w:i/>
          <w:iCs/>
          <w:lang w:val="fr-FR"/>
        </w:rPr>
        <w:t>ulterioare</w:t>
      </w:r>
      <w:r w:rsidR="003E535B" w:rsidRPr="00B9656D">
        <w:rPr>
          <w:iCs/>
          <w:lang w:val="fr-FR"/>
        </w:rPr>
        <w:t xml:space="preserve">), </w:t>
      </w:r>
      <w:r w:rsidR="007D65CE" w:rsidRPr="00B9656D">
        <w:rPr>
          <w:lang w:val="fr-FR"/>
        </w:rPr>
        <w:t xml:space="preserve">Comitetul a </w:t>
      </w:r>
      <w:r w:rsidR="00EC1B95">
        <w:rPr>
          <w:lang w:val="fr-FR"/>
        </w:rPr>
        <w:t xml:space="preserve">discutat </w:t>
      </w:r>
      <w:r w:rsidR="008E4525" w:rsidRPr="00B9656D">
        <w:rPr>
          <w:lang w:val="fr-FR"/>
        </w:rPr>
        <w:t>amortizoarel</w:t>
      </w:r>
      <w:r w:rsidR="00EC1B95">
        <w:rPr>
          <w:lang w:val="fr-FR"/>
        </w:rPr>
        <w:t>e</w:t>
      </w:r>
      <w:r w:rsidR="008E4525" w:rsidRPr="00B9656D">
        <w:rPr>
          <w:lang w:val="fr-FR"/>
        </w:rPr>
        <w:t xml:space="preserve"> de capital </w:t>
      </w:r>
      <w:r w:rsidR="003E535B" w:rsidRPr="00B9656D">
        <w:rPr>
          <w:lang w:val="fr-FR"/>
        </w:rPr>
        <w:t xml:space="preserve">ce pot fi </w:t>
      </w:r>
      <w:r w:rsidR="00931E3C">
        <w:rPr>
          <w:lang w:val="fr-FR"/>
        </w:rPr>
        <w:t xml:space="preserve">aplicate </w:t>
      </w:r>
      <w:r w:rsidR="00B82482">
        <w:rPr>
          <w:lang w:val="fr-FR"/>
        </w:rPr>
        <w:t>societăților de servicii de investiții financiare</w:t>
      </w:r>
      <w:r w:rsidR="003E535B" w:rsidRPr="00B9656D">
        <w:rPr>
          <w:lang w:val="fr-FR"/>
        </w:rPr>
        <w:t>, pe</w:t>
      </w:r>
      <w:r w:rsidR="00B82482">
        <w:rPr>
          <w:lang w:val="fr-FR"/>
        </w:rPr>
        <w:t xml:space="preserve"> </w:t>
      </w:r>
      <w:r w:rsidR="003E535B" w:rsidRPr="00B9656D">
        <w:rPr>
          <w:lang w:val="fr-FR"/>
        </w:rPr>
        <w:t>lângă</w:t>
      </w:r>
      <w:r w:rsidR="00B82482">
        <w:rPr>
          <w:lang w:val="fr-FR"/>
        </w:rPr>
        <w:t xml:space="preserve"> </w:t>
      </w:r>
      <w:r w:rsidR="003E535B" w:rsidRPr="00B9656D">
        <w:rPr>
          <w:lang w:val="fr-FR"/>
        </w:rPr>
        <w:t>cerinţele minime de fonduri</w:t>
      </w:r>
      <w:r w:rsidR="00B82482">
        <w:rPr>
          <w:lang w:val="fr-FR"/>
        </w:rPr>
        <w:t xml:space="preserve"> </w:t>
      </w:r>
      <w:r w:rsidR="003E535B" w:rsidRPr="00B9656D">
        <w:rPr>
          <w:lang w:val="fr-FR"/>
        </w:rPr>
        <w:t>proprii, în</w:t>
      </w:r>
      <w:r w:rsidR="00B82482">
        <w:rPr>
          <w:lang w:val="fr-FR"/>
        </w:rPr>
        <w:t xml:space="preserve"> </w:t>
      </w:r>
      <w:r w:rsidR="003E535B" w:rsidRPr="00B9656D">
        <w:rPr>
          <w:lang w:val="fr-FR"/>
        </w:rPr>
        <w:t>vederea</w:t>
      </w:r>
      <w:r w:rsidR="00B82482">
        <w:rPr>
          <w:lang w:val="fr-FR"/>
        </w:rPr>
        <w:t xml:space="preserve"> </w:t>
      </w:r>
      <w:r w:rsidR="00D273FB" w:rsidRPr="00B9656D">
        <w:rPr>
          <w:lang w:val="fr-FR"/>
        </w:rPr>
        <w:t>creşterii</w:t>
      </w:r>
      <w:r w:rsidR="00B82482">
        <w:rPr>
          <w:lang w:val="fr-FR"/>
        </w:rPr>
        <w:t xml:space="preserve"> </w:t>
      </w:r>
      <w:r w:rsidR="00D273FB" w:rsidRPr="00B9656D">
        <w:rPr>
          <w:lang w:val="fr-FR"/>
        </w:rPr>
        <w:t>rezilienţei</w:t>
      </w:r>
      <w:r w:rsidR="00B82482">
        <w:rPr>
          <w:lang w:val="fr-FR"/>
        </w:rPr>
        <w:t xml:space="preserve"> acestei componente a </w:t>
      </w:r>
      <w:r w:rsidR="00D273FB" w:rsidRPr="00B9656D">
        <w:rPr>
          <w:lang w:val="fr-FR"/>
        </w:rPr>
        <w:t>sectorului</w:t>
      </w:r>
      <w:r w:rsidR="00B82482">
        <w:rPr>
          <w:lang w:val="fr-FR"/>
        </w:rPr>
        <w:t xml:space="preserve"> </w:t>
      </w:r>
      <w:r w:rsidR="0006237A" w:rsidRPr="00B9656D">
        <w:rPr>
          <w:lang w:val="fr-FR"/>
        </w:rPr>
        <w:t>financiar</w:t>
      </w:r>
      <w:r w:rsidR="003E535B" w:rsidRPr="00B9656D">
        <w:rPr>
          <w:lang w:val="fr-FR"/>
        </w:rPr>
        <w:t>.</w:t>
      </w:r>
    </w:p>
    <w:p w:rsidR="00645B7C" w:rsidRDefault="00AB1FC3" w:rsidP="00702EA7">
      <w:pPr>
        <w:pStyle w:val="NormalWeb"/>
        <w:spacing w:before="0" w:beforeAutospacing="0" w:after="120" w:afterAutospacing="0"/>
        <w:jc w:val="both"/>
        <w:rPr>
          <w:lang w:val="fr-FR"/>
        </w:rPr>
      </w:pPr>
      <w:r w:rsidRPr="00B9656D">
        <w:rPr>
          <w:lang w:val="fr-FR"/>
        </w:rPr>
        <w:t>Având</w:t>
      </w:r>
      <w:r>
        <w:rPr>
          <w:lang w:val="fr-FR"/>
        </w:rPr>
        <w:t xml:space="preserve"> </w:t>
      </w:r>
      <w:r w:rsidRPr="00B9656D">
        <w:rPr>
          <w:lang w:val="fr-FR"/>
        </w:rPr>
        <w:t>în</w:t>
      </w:r>
      <w:r>
        <w:rPr>
          <w:lang w:val="fr-FR"/>
        </w:rPr>
        <w:t xml:space="preserve"> </w:t>
      </w:r>
      <w:r w:rsidRPr="00B9656D">
        <w:rPr>
          <w:lang w:val="fr-FR"/>
        </w:rPr>
        <w:t>vedere</w:t>
      </w:r>
      <w:r>
        <w:rPr>
          <w:lang w:val="fr-FR"/>
        </w:rPr>
        <w:t xml:space="preserve"> </w:t>
      </w:r>
      <w:r w:rsidRPr="00B9656D">
        <w:rPr>
          <w:lang w:val="fr-FR"/>
        </w:rPr>
        <w:t>obligația</w:t>
      </w:r>
      <w:r>
        <w:rPr>
          <w:lang w:val="fr-FR"/>
        </w:rPr>
        <w:t xml:space="preserve"> </w:t>
      </w:r>
      <w:r w:rsidRPr="00B9656D">
        <w:rPr>
          <w:lang w:val="fr-FR"/>
        </w:rPr>
        <w:t>derivată</w:t>
      </w:r>
      <w:r>
        <w:rPr>
          <w:lang w:val="fr-FR"/>
        </w:rPr>
        <w:t xml:space="preserve"> </w:t>
      </w:r>
      <w:r w:rsidRPr="00B9656D">
        <w:rPr>
          <w:lang w:val="fr-FR"/>
        </w:rPr>
        <w:t>din</w:t>
      </w:r>
      <w:r>
        <w:rPr>
          <w:lang w:val="fr-FR"/>
        </w:rPr>
        <w:t xml:space="preserve"> </w:t>
      </w:r>
      <w:r w:rsidRPr="00B9656D">
        <w:rPr>
          <w:i/>
          <w:lang w:val="fr-FR"/>
        </w:rPr>
        <w:t>Directiva 2013/36/UE a Parlamentului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European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și a Consiliului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cuprivire la accesul la activitatea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instituțiilor de credit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și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supravegherea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prudențială a instituțiilor de credit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și a firmelor de investiții, de modificare a Directivei 2002/87/CE și de abrogare a Directivelor 2006/48/CE și 2006/49/CE</w:t>
      </w:r>
      <w:r w:rsidRPr="00B9656D">
        <w:rPr>
          <w:lang w:val="fr-FR"/>
        </w:rPr>
        <w:t>,</w:t>
      </w:r>
      <w:r>
        <w:rPr>
          <w:lang w:val="fr-FR"/>
        </w:rPr>
        <w:t xml:space="preserve"> </w:t>
      </w:r>
      <w:r w:rsidRPr="00B9656D">
        <w:rPr>
          <w:lang w:val="fr-FR"/>
        </w:rPr>
        <w:t>transpusă</w:t>
      </w:r>
      <w:r>
        <w:rPr>
          <w:lang w:val="fr-FR"/>
        </w:rPr>
        <w:t xml:space="preserve"> </w:t>
      </w:r>
      <w:r w:rsidRPr="00B9656D">
        <w:rPr>
          <w:lang w:val="fr-FR"/>
        </w:rPr>
        <w:t>în</w:t>
      </w:r>
      <w:r>
        <w:rPr>
          <w:lang w:val="fr-FR"/>
        </w:rPr>
        <w:t xml:space="preserve"> </w:t>
      </w:r>
      <w:r w:rsidRPr="00B9656D">
        <w:rPr>
          <w:lang w:val="fr-FR"/>
        </w:rPr>
        <w:t>legislația</w:t>
      </w:r>
      <w:r>
        <w:rPr>
          <w:lang w:val="fr-FR"/>
        </w:rPr>
        <w:t xml:space="preserve"> </w:t>
      </w:r>
      <w:r w:rsidRPr="00B9656D">
        <w:rPr>
          <w:lang w:val="fr-FR"/>
        </w:rPr>
        <w:t>națională</w:t>
      </w:r>
      <w:r>
        <w:rPr>
          <w:lang w:val="fr-FR"/>
        </w:rPr>
        <w:t xml:space="preserve"> </w:t>
      </w:r>
      <w:r w:rsidRPr="00B9656D">
        <w:rPr>
          <w:lang w:val="fr-FR"/>
        </w:rPr>
        <w:t>prin</w:t>
      </w:r>
      <w:r>
        <w:rPr>
          <w:lang w:val="fr-FR"/>
        </w:rPr>
        <w:t xml:space="preserve"> </w:t>
      </w:r>
      <w:r>
        <w:rPr>
          <w:i/>
          <w:lang w:val="fr-FR"/>
        </w:rPr>
        <w:t>Regulamentul ASF nr.</w:t>
      </w:r>
      <w:r w:rsidR="009B5968">
        <w:rPr>
          <w:i/>
          <w:lang w:val="fr-FR"/>
        </w:rPr>
        <w:t>3/2014</w:t>
      </w:r>
      <w:r>
        <w:rPr>
          <w:i/>
          <w:lang w:val="fr-FR"/>
        </w:rPr>
        <w:t xml:space="preserve"> </w:t>
      </w:r>
      <w:r w:rsidRPr="00B9656D">
        <w:rPr>
          <w:lang w:val="fr-FR"/>
        </w:rPr>
        <w:t>și</w:t>
      </w:r>
      <w:r>
        <w:rPr>
          <w:lang w:val="fr-FR"/>
        </w:rPr>
        <w:t xml:space="preserve"> </w:t>
      </w:r>
      <w:r w:rsidRPr="00B9656D">
        <w:rPr>
          <w:i/>
          <w:lang w:val="fr-FR"/>
        </w:rPr>
        <w:t>Ordonanţa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de urgenţă nr. 99 din 06/12/2006 privind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instituţiile de credit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şi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adecvarea</w:t>
      </w:r>
      <w:r>
        <w:rPr>
          <w:i/>
          <w:lang w:val="fr-FR"/>
        </w:rPr>
        <w:t xml:space="preserve"> </w:t>
      </w:r>
      <w:r w:rsidRPr="00B9656D">
        <w:rPr>
          <w:i/>
          <w:lang w:val="fr-FR"/>
        </w:rPr>
        <w:t>capitalului</w:t>
      </w:r>
      <w:r w:rsidR="003E535B" w:rsidRPr="00B9656D">
        <w:rPr>
          <w:lang w:val="fr-FR"/>
        </w:rPr>
        <w:t>,</w:t>
      </w:r>
      <w:r w:rsidR="009B5968">
        <w:rPr>
          <w:lang w:val="fr-FR"/>
        </w:rPr>
        <w:t xml:space="preserve"> </w:t>
      </w:r>
      <w:r w:rsidR="009B5968" w:rsidRPr="00B9656D">
        <w:rPr>
          <w:i/>
          <w:iCs/>
          <w:lang w:val="fr-FR"/>
        </w:rPr>
        <w:t>aprobată</w:t>
      </w:r>
      <w:r w:rsidR="009B5968">
        <w:rPr>
          <w:i/>
          <w:iCs/>
          <w:lang w:val="fr-FR"/>
        </w:rPr>
        <w:t xml:space="preserve"> </w:t>
      </w:r>
      <w:r w:rsidR="009B5968" w:rsidRPr="00B9656D">
        <w:rPr>
          <w:i/>
          <w:iCs/>
          <w:lang w:val="fr-FR"/>
        </w:rPr>
        <w:t>cu</w:t>
      </w:r>
      <w:r w:rsidR="009B5968">
        <w:rPr>
          <w:i/>
          <w:iCs/>
          <w:lang w:val="fr-FR"/>
        </w:rPr>
        <w:t xml:space="preserve"> </w:t>
      </w:r>
      <w:r w:rsidR="009B5968" w:rsidRPr="00B9656D">
        <w:rPr>
          <w:i/>
          <w:iCs/>
          <w:lang w:val="fr-FR"/>
        </w:rPr>
        <w:t>modificări</w:t>
      </w:r>
      <w:r w:rsidR="009B5968">
        <w:rPr>
          <w:i/>
          <w:iCs/>
          <w:lang w:val="fr-FR"/>
        </w:rPr>
        <w:t xml:space="preserve"> </w:t>
      </w:r>
      <w:r w:rsidR="009B5968" w:rsidRPr="00B9656D">
        <w:rPr>
          <w:i/>
          <w:iCs/>
          <w:lang w:val="fr-FR"/>
        </w:rPr>
        <w:t>şi</w:t>
      </w:r>
      <w:r w:rsidR="009B5968">
        <w:rPr>
          <w:i/>
          <w:iCs/>
          <w:lang w:val="fr-FR"/>
        </w:rPr>
        <w:t xml:space="preserve"> </w:t>
      </w:r>
      <w:r w:rsidR="009B5968" w:rsidRPr="00B9656D">
        <w:rPr>
          <w:i/>
          <w:iCs/>
          <w:lang w:val="fr-FR"/>
        </w:rPr>
        <w:t>completări</w:t>
      </w:r>
      <w:r w:rsidR="009B5968">
        <w:rPr>
          <w:i/>
          <w:iCs/>
          <w:lang w:val="fr-FR"/>
        </w:rPr>
        <w:t xml:space="preserve"> </w:t>
      </w:r>
      <w:r w:rsidR="009B5968" w:rsidRPr="00B9656D">
        <w:rPr>
          <w:i/>
          <w:iCs/>
          <w:lang w:val="fr-FR"/>
        </w:rPr>
        <w:t>prin</w:t>
      </w:r>
      <w:r w:rsidR="009B5968">
        <w:rPr>
          <w:i/>
          <w:iCs/>
          <w:lang w:val="fr-FR"/>
        </w:rPr>
        <w:t xml:space="preserve"> </w:t>
      </w:r>
      <w:r w:rsidR="009B5968" w:rsidRPr="00B9656D">
        <w:rPr>
          <w:i/>
          <w:iCs/>
          <w:lang w:val="fr-FR"/>
        </w:rPr>
        <w:t>Legea nr.227/2007, cu</w:t>
      </w:r>
      <w:r w:rsidR="009B5968">
        <w:rPr>
          <w:i/>
          <w:iCs/>
          <w:lang w:val="fr-FR"/>
        </w:rPr>
        <w:t xml:space="preserve"> </w:t>
      </w:r>
      <w:r w:rsidR="009B5968" w:rsidRPr="00B9656D">
        <w:rPr>
          <w:i/>
          <w:iCs/>
          <w:lang w:val="fr-FR"/>
        </w:rPr>
        <w:t>modificările</w:t>
      </w:r>
      <w:r w:rsidR="009B5968">
        <w:rPr>
          <w:i/>
          <w:iCs/>
          <w:lang w:val="fr-FR"/>
        </w:rPr>
        <w:t xml:space="preserve"> </w:t>
      </w:r>
      <w:r w:rsidR="009B5968" w:rsidRPr="00B9656D">
        <w:rPr>
          <w:i/>
          <w:iCs/>
          <w:lang w:val="fr-FR"/>
        </w:rPr>
        <w:t>şi</w:t>
      </w:r>
      <w:r w:rsidR="009B5968">
        <w:rPr>
          <w:i/>
          <w:iCs/>
          <w:lang w:val="fr-FR"/>
        </w:rPr>
        <w:t xml:space="preserve"> </w:t>
      </w:r>
      <w:r w:rsidR="009B5968" w:rsidRPr="00B9656D">
        <w:rPr>
          <w:i/>
          <w:iCs/>
          <w:lang w:val="fr-FR"/>
        </w:rPr>
        <w:t>completările</w:t>
      </w:r>
      <w:r w:rsidR="009B5968">
        <w:rPr>
          <w:i/>
          <w:iCs/>
          <w:lang w:val="fr-FR"/>
        </w:rPr>
        <w:t xml:space="preserve"> </w:t>
      </w:r>
      <w:r w:rsidR="009B5968" w:rsidRPr="00B9656D">
        <w:rPr>
          <w:i/>
          <w:iCs/>
          <w:lang w:val="fr-FR"/>
        </w:rPr>
        <w:t>ulterioare</w:t>
      </w:r>
      <w:r w:rsidR="009B5968">
        <w:rPr>
          <w:i/>
          <w:iCs/>
          <w:lang w:val="fr-FR"/>
        </w:rPr>
        <w:t>,</w:t>
      </w:r>
      <w:r w:rsidR="003E535B" w:rsidRPr="00B9656D">
        <w:rPr>
          <w:lang w:val="fr-FR"/>
        </w:rPr>
        <w:t xml:space="preserve"> </w:t>
      </w:r>
      <w:r w:rsidR="009B5968" w:rsidRPr="00B62C8A">
        <w:rPr>
          <w:iCs/>
        </w:rPr>
        <w:t>de a activa amortizorul de conservare a capitalului și amortizorul anticiclic de capital</w:t>
      </w:r>
      <w:r w:rsidR="009B5968">
        <w:rPr>
          <w:iCs/>
        </w:rPr>
        <w:t>,</w:t>
      </w:r>
      <w:r w:rsidR="00931E3C">
        <w:rPr>
          <w:iCs/>
        </w:rPr>
        <w:t xml:space="preserve"> </w:t>
      </w:r>
      <w:r w:rsidR="009B5968" w:rsidRPr="00026596">
        <w:rPr>
          <w:iCs/>
        </w:rPr>
        <w:t>începând cu 1 ianuarie 2016</w:t>
      </w:r>
      <w:r w:rsidR="009B5968">
        <w:rPr>
          <w:iCs/>
        </w:rPr>
        <w:t xml:space="preserve">, </w:t>
      </w:r>
      <w:r w:rsidR="003E535B" w:rsidRPr="00B9656D">
        <w:rPr>
          <w:lang w:val="fr-FR"/>
        </w:rPr>
        <w:t>membrii CNSF au adoptat</w:t>
      </w:r>
      <w:r w:rsidR="00B82482">
        <w:rPr>
          <w:lang w:val="fr-FR"/>
        </w:rPr>
        <w:t xml:space="preserve"> </w:t>
      </w:r>
      <w:r w:rsidR="003E535B" w:rsidRPr="00B9656D">
        <w:rPr>
          <w:lang w:val="fr-FR"/>
        </w:rPr>
        <w:t xml:space="preserve">Recomandarea CNSF nr. </w:t>
      </w:r>
      <w:r w:rsidR="00931E3C">
        <w:rPr>
          <w:lang w:val="fr-FR"/>
        </w:rPr>
        <w:t>2</w:t>
      </w:r>
      <w:r w:rsidR="003E535B" w:rsidRPr="00491D0D">
        <w:rPr>
          <w:lang w:val="fr-FR"/>
        </w:rPr>
        <w:t>/</w:t>
      </w:r>
      <w:r w:rsidR="00B82482" w:rsidRPr="00491D0D">
        <w:rPr>
          <w:lang w:val="fr-FR"/>
        </w:rPr>
        <w:t>18</w:t>
      </w:r>
      <w:r w:rsidR="0064107F" w:rsidRPr="00491D0D">
        <w:rPr>
          <w:lang w:val="fr-FR"/>
        </w:rPr>
        <w:t>.1</w:t>
      </w:r>
      <w:r w:rsidR="00B82482" w:rsidRPr="00491D0D">
        <w:rPr>
          <w:lang w:val="fr-FR"/>
        </w:rPr>
        <w:t>2</w:t>
      </w:r>
      <w:r w:rsidR="0064107F" w:rsidRPr="00491D0D">
        <w:rPr>
          <w:lang w:val="fr-FR"/>
        </w:rPr>
        <w:t>.</w:t>
      </w:r>
      <w:r w:rsidR="003E535B" w:rsidRPr="00491D0D">
        <w:rPr>
          <w:lang w:val="fr-FR"/>
        </w:rPr>
        <w:t>201</w:t>
      </w:r>
      <w:r w:rsidR="00645B7C" w:rsidRPr="00491D0D">
        <w:rPr>
          <w:lang w:val="fr-FR"/>
        </w:rPr>
        <w:t>5</w:t>
      </w:r>
      <w:r w:rsidR="00B82482">
        <w:rPr>
          <w:lang w:val="fr-FR"/>
        </w:rPr>
        <w:t xml:space="preserve"> </w:t>
      </w:r>
      <w:r w:rsidR="003E535B" w:rsidRPr="00B9656D">
        <w:rPr>
          <w:lang w:val="fr-FR"/>
        </w:rPr>
        <w:t>prin care se recomandă</w:t>
      </w:r>
      <w:r w:rsidR="00B82482">
        <w:rPr>
          <w:lang w:val="fr-FR"/>
        </w:rPr>
        <w:t xml:space="preserve"> Autorității de Supraveghere Financiară</w:t>
      </w:r>
      <w:r w:rsidR="00DE44ED" w:rsidRPr="00B9656D">
        <w:rPr>
          <w:lang w:val="fr-FR"/>
        </w:rPr>
        <w:t>, în</w:t>
      </w:r>
      <w:r w:rsidR="00B82482">
        <w:rPr>
          <w:lang w:val="fr-FR"/>
        </w:rPr>
        <w:t xml:space="preserve"> </w:t>
      </w:r>
      <w:r w:rsidR="00DE44ED" w:rsidRPr="00B9656D">
        <w:rPr>
          <w:lang w:val="fr-FR"/>
        </w:rPr>
        <w:t>calitate de autoritate</w:t>
      </w:r>
      <w:r w:rsidR="00B82482">
        <w:rPr>
          <w:lang w:val="fr-FR"/>
        </w:rPr>
        <w:t xml:space="preserve"> </w:t>
      </w:r>
      <w:r w:rsidR="00DE44ED" w:rsidRPr="00B9656D">
        <w:rPr>
          <w:lang w:val="fr-FR"/>
        </w:rPr>
        <w:t xml:space="preserve">competentă, </w:t>
      </w:r>
      <w:r w:rsidR="003E535B" w:rsidRPr="00B9656D">
        <w:rPr>
          <w:lang w:val="fr-FR"/>
        </w:rPr>
        <w:t>să</w:t>
      </w:r>
      <w:r w:rsidR="00B82482">
        <w:rPr>
          <w:lang w:val="fr-FR"/>
        </w:rPr>
        <w:t xml:space="preserve"> </w:t>
      </w:r>
      <w:r w:rsidR="00645B7C" w:rsidRPr="00B9656D">
        <w:rPr>
          <w:lang w:val="fr-FR"/>
        </w:rPr>
        <w:t>impună</w:t>
      </w:r>
      <w:r w:rsidR="00B82482">
        <w:rPr>
          <w:lang w:val="fr-FR"/>
        </w:rPr>
        <w:t xml:space="preserve"> societăților de servicii de investiții financiare</w:t>
      </w:r>
      <w:r w:rsidR="00645B7C" w:rsidRPr="00B9656D">
        <w:rPr>
          <w:lang w:val="fr-FR"/>
        </w:rPr>
        <w:t xml:space="preserve"> </w:t>
      </w:r>
      <w:r w:rsidR="00160D73">
        <w:rPr>
          <w:lang w:val="fr-FR"/>
        </w:rPr>
        <w:t>următoarele niveluri ale acestor amortizoare</w:t>
      </w:r>
      <w:r w:rsidR="00645B7C" w:rsidRPr="00B9656D">
        <w:rPr>
          <w:lang w:val="fr-FR"/>
        </w:rPr>
        <w:t xml:space="preserve">: </w:t>
      </w:r>
    </w:p>
    <w:p w:rsidR="00160D73" w:rsidRDefault="00160D73" w:rsidP="00702EA7">
      <w:pPr>
        <w:pStyle w:val="ln2acttitlu"/>
        <w:numPr>
          <w:ilvl w:val="0"/>
          <w:numId w:val="7"/>
        </w:numPr>
        <w:spacing w:before="0" w:beforeAutospacing="0" w:after="120" w:afterAutospacing="0"/>
        <w:ind w:left="357" w:hanging="357"/>
        <w:jc w:val="both"/>
        <w:rPr>
          <w:sz w:val="24"/>
          <w:szCs w:val="24"/>
        </w:rPr>
      </w:pPr>
      <w:r w:rsidRPr="00026596">
        <w:rPr>
          <w:sz w:val="24"/>
          <w:szCs w:val="24"/>
        </w:rPr>
        <w:t xml:space="preserve">amortizorul de conservare a capitalului </w:t>
      </w:r>
      <w:r w:rsidR="00C50C9C">
        <w:rPr>
          <w:sz w:val="24"/>
          <w:szCs w:val="24"/>
        </w:rPr>
        <w:t xml:space="preserve">pentru societățile de servicii de investiții financiare </w:t>
      </w:r>
      <w:r>
        <w:rPr>
          <w:sz w:val="24"/>
          <w:szCs w:val="24"/>
        </w:rPr>
        <w:t xml:space="preserve">se va introduce, </w:t>
      </w:r>
      <w:r w:rsidRPr="00375232">
        <w:rPr>
          <w:iCs/>
          <w:sz w:val="24"/>
          <w:szCs w:val="24"/>
        </w:rPr>
        <w:t xml:space="preserve">începând cu </w:t>
      </w:r>
      <w:r w:rsidRPr="00931E3C">
        <w:rPr>
          <w:iCs/>
          <w:sz w:val="24"/>
          <w:szCs w:val="24"/>
        </w:rPr>
        <w:t>1 ianuarie 2016</w:t>
      </w:r>
      <w:r>
        <w:rPr>
          <w:iCs/>
          <w:sz w:val="24"/>
          <w:szCs w:val="24"/>
        </w:rPr>
        <w:t xml:space="preserve">, </w:t>
      </w:r>
      <w:r w:rsidRPr="00FB1C06">
        <w:rPr>
          <w:sz w:val="24"/>
          <w:szCs w:val="24"/>
        </w:rPr>
        <w:t xml:space="preserve">în trepte procentuale de 0,625% pe an, de-a lungul perioadei 2016-2019, </w:t>
      </w:r>
      <w:r>
        <w:rPr>
          <w:rFonts w:eastAsia="Times New Roman"/>
          <w:color w:val="000000"/>
          <w:sz w:val="24"/>
          <w:szCs w:val="24"/>
        </w:rPr>
        <w:t>astfel</w:t>
      </w:r>
      <w:r w:rsidRPr="00B9656D">
        <w:rPr>
          <w:rFonts w:eastAsia="Times New Roman"/>
          <w:color w:val="000000"/>
          <w:sz w:val="24"/>
          <w:szCs w:val="24"/>
          <w:lang w:val="fr-FR"/>
        </w:rPr>
        <w:t>:</w:t>
      </w:r>
    </w:p>
    <w:p w:rsidR="006F0ECA" w:rsidRPr="0025398A" w:rsidRDefault="006F0ECA" w:rsidP="006F0ECA">
      <w:pPr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o-RO"/>
        </w:rPr>
      </w:pPr>
      <w:r w:rsidRPr="0025398A">
        <w:rPr>
          <w:rFonts w:ascii="Times New Roman" w:hAnsi="Times New Roman"/>
          <w:color w:val="333333"/>
          <w:sz w:val="24"/>
          <w:szCs w:val="24"/>
          <w:lang w:eastAsia="ro-RO"/>
        </w:rPr>
        <w:t xml:space="preserve">de la </w:t>
      </w:r>
      <w:r w:rsidRPr="00931E3C">
        <w:rPr>
          <w:rFonts w:ascii="Times New Roman" w:hAnsi="Times New Roman"/>
          <w:color w:val="333333"/>
          <w:sz w:val="24"/>
          <w:szCs w:val="24"/>
          <w:lang w:eastAsia="ro-RO"/>
        </w:rPr>
        <w:t>1 ianuarie 2016</w:t>
      </w:r>
      <w:r w:rsidRPr="0025398A">
        <w:rPr>
          <w:rFonts w:ascii="Times New Roman" w:hAnsi="Times New Roman"/>
          <w:color w:val="333333"/>
          <w:sz w:val="24"/>
          <w:szCs w:val="24"/>
          <w:lang w:eastAsia="ro-RO"/>
        </w:rPr>
        <w:t xml:space="preserve"> – 0,625%</w:t>
      </w:r>
    </w:p>
    <w:p w:rsidR="006F0ECA" w:rsidRPr="0025398A" w:rsidRDefault="006F0ECA" w:rsidP="006F0ECA">
      <w:pPr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o-RO"/>
        </w:rPr>
      </w:pPr>
      <w:r w:rsidRPr="0025398A">
        <w:rPr>
          <w:rFonts w:ascii="Times New Roman" w:hAnsi="Times New Roman"/>
          <w:color w:val="333333"/>
          <w:sz w:val="24"/>
          <w:szCs w:val="24"/>
          <w:lang w:eastAsia="ro-RO"/>
        </w:rPr>
        <w:t>de la 1 ianuarie 2017 –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 </w:t>
      </w:r>
      <w:r w:rsidRPr="0025398A">
        <w:rPr>
          <w:rFonts w:ascii="Times New Roman" w:hAnsi="Times New Roman"/>
          <w:color w:val="333333"/>
          <w:sz w:val="24"/>
          <w:szCs w:val="24"/>
          <w:lang w:eastAsia="ro-RO"/>
        </w:rPr>
        <w:t>1,25%</w:t>
      </w:r>
      <w:bookmarkStart w:id="0" w:name="_GoBack"/>
      <w:bookmarkEnd w:id="0"/>
    </w:p>
    <w:p w:rsidR="006F0ECA" w:rsidRPr="0025398A" w:rsidRDefault="006F0ECA" w:rsidP="006F0ECA">
      <w:pPr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o-RO"/>
        </w:rPr>
      </w:pPr>
      <w:r w:rsidRPr="0025398A">
        <w:rPr>
          <w:rFonts w:ascii="Times New Roman" w:hAnsi="Times New Roman"/>
          <w:color w:val="333333"/>
          <w:sz w:val="24"/>
          <w:szCs w:val="24"/>
          <w:lang w:eastAsia="ro-RO"/>
        </w:rPr>
        <w:t>de la 1 ianuarie 2018 –</w:t>
      </w:r>
      <w:r>
        <w:rPr>
          <w:rFonts w:ascii="Times New Roman" w:hAnsi="Times New Roman"/>
          <w:color w:val="333333"/>
          <w:sz w:val="24"/>
          <w:szCs w:val="24"/>
          <w:lang w:eastAsia="ro-RO"/>
        </w:rPr>
        <w:t xml:space="preserve"> </w:t>
      </w:r>
      <w:r w:rsidRPr="0025398A">
        <w:rPr>
          <w:rFonts w:ascii="Times New Roman" w:hAnsi="Times New Roman"/>
          <w:color w:val="333333"/>
          <w:sz w:val="24"/>
          <w:szCs w:val="24"/>
          <w:lang w:eastAsia="ro-RO"/>
        </w:rPr>
        <w:t>1,875%</w:t>
      </w:r>
    </w:p>
    <w:p w:rsidR="006F0ECA" w:rsidRPr="0025398A" w:rsidRDefault="006F0ECA" w:rsidP="006F0ECA">
      <w:pPr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o-RO"/>
        </w:rPr>
      </w:pPr>
      <w:r w:rsidRPr="0025398A">
        <w:rPr>
          <w:rFonts w:ascii="Times New Roman" w:hAnsi="Times New Roman"/>
          <w:color w:val="333333"/>
          <w:sz w:val="24"/>
          <w:szCs w:val="24"/>
          <w:lang w:eastAsia="ro-RO"/>
        </w:rPr>
        <w:t>de la 1 ianuarie 2019 – 2,5%.</w:t>
      </w:r>
    </w:p>
    <w:p w:rsidR="00810D65" w:rsidRPr="00810D65" w:rsidRDefault="00160D73" w:rsidP="00702EA7">
      <w:pPr>
        <w:pStyle w:val="ln2acttitlu"/>
        <w:numPr>
          <w:ilvl w:val="0"/>
          <w:numId w:val="7"/>
        </w:numPr>
        <w:spacing w:before="240" w:beforeAutospacing="0" w:after="120" w:afterAutospacing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menținerea </w:t>
      </w:r>
      <w:r w:rsidR="00C50C9C">
        <w:rPr>
          <w:sz w:val="24"/>
          <w:szCs w:val="24"/>
        </w:rPr>
        <w:t>la nivelul de</w:t>
      </w:r>
      <w:r w:rsidR="00C50C9C" w:rsidRPr="00AD03EC">
        <w:rPr>
          <w:sz w:val="24"/>
          <w:szCs w:val="24"/>
        </w:rPr>
        <w:t xml:space="preserve"> 0 la sută </w:t>
      </w:r>
      <w:r w:rsidR="00C50C9C">
        <w:rPr>
          <w:sz w:val="24"/>
          <w:szCs w:val="24"/>
        </w:rPr>
        <w:t xml:space="preserve">a </w:t>
      </w:r>
      <w:r w:rsidR="00810D65" w:rsidRPr="00AD03EC">
        <w:rPr>
          <w:sz w:val="24"/>
          <w:szCs w:val="24"/>
        </w:rPr>
        <w:t>amortizorul</w:t>
      </w:r>
      <w:r>
        <w:rPr>
          <w:sz w:val="24"/>
          <w:szCs w:val="24"/>
        </w:rPr>
        <w:t>ui</w:t>
      </w:r>
      <w:r w:rsidR="00810D65" w:rsidRPr="00AD03EC">
        <w:rPr>
          <w:sz w:val="24"/>
          <w:szCs w:val="24"/>
        </w:rPr>
        <w:t xml:space="preserve"> anticiclic de capital</w:t>
      </w:r>
      <w:r w:rsidR="00611394">
        <w:rPr>
          <w:sz w:val="24"/>
          <w:szCs w:val="24"/>
        </w:rPr>
        <w:t xml:space="preserve"> </w:t>
      </w:r>
      <w:r w:rsidR="00611394" w:rsidRPr="00702EA7">
        <w:rPr>
          <w:sz w:val="24"/>
          <w:szCs w:val="24"/>
        </w:rPr>
        <w:t>și a amortizorului de capital pentru riscul sistemic</w:t>
      </w:r>
      <w:r w:rsidR="00810D65">
        <w:rPr>
          <w:sz w:val="24"/>
          <w:szCs w:val="24"/>
        </w:rPr>
        <w:t xml:space="preserve"> </w:t>
      </w:r>
      <w:r w:rsidR="00C50C9C">
        <w:rPr>
          <w:sz w:val="24"/>
          <w:szCs w:val="24"/>
        </w:rPr>
        <w:t>aferent</w:t>
      </w:r>
      <w:r>
        <w:rPr>
          <w:sz w:val="24"/>
          <w:szCs w:val="24"/>
        </w:rPr>
        <w:t xml:space="preserve"> societățile de servicii de intermediere financiară</w:t>
      </w:r>
      <w:r w:rsidR="00B62C8A">
        <w:rPr>
          <w:sz w:val="24"/>
          <w:szCs w:val="24"/>
        </w:rPr>
        <w:t>.</w:t>
      </w:r>
    </w:p>
    <w:p w:rsidR="0064107F" w:rsidRPr="00B9656D" w:rsidRDefault="0064107F" w:rsidP="00702E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Se estimează că utilizarea acestor instrumente macroprudenţiale nu va implica </w:t>
      </w:r>
      <w:r w:rsidR="003349EB">
        <w:rPr>
          <w:rFonts w:ascii="Times New Roman" w:hAnsi="Times New Roman" w:cs="Times New Roman"/>
          <w:sz w:val="24"/>
          <w:szCs w:val="24"/>
          <w:lang w:val="ro-RO"/>
        </w:rPr>
        <w:t>aport de capital,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B9656D">
        <w:rPr>
          <w:rFonts w:ascii="Times New Roman" w:hAnsi="Times New Roman" w:cs="Times New Roman"/>
          <w:sz w:val="24"/>
          <w:szCs w:val="24"/>
          <w:lang w:val="ro-RO"/>
        </w:rPr>
        <w:t>acest moment</w:t>
      </w:r>
      <w:r w:rsidR="003349E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91D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656D"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cazul </w:t>
      </w:r>
      <w:r w:rsidR="00491D0D">
        <w:rPr>
          <w:rFonts w:ascii="Times New Roman" w:hAnsi="Times New Roman" w:cs="Times New Roman"/>
          <w:sz w:val="24"/>
          <w:szCs w:val="24"/>
          <w:lang w:val="ro-RO"/>
        </w:rPr>
        <w:t>societăților de servicii financiare</w:t>
      </w:r>
      <w:r w:rsidR="00B9656D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>Români</w:t>
      </w:r>
      <w:r w:rsidR="00B9656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, având în vedere nivelul </w:t>
      </w:r>
      <w:r w:rsidR="00491D0D">
        <w:rPr>
          <w:rFonts w:ascii="Times New Roman" w:hAnsi="Times New Roman" w:cs="Times New Roman"/>
          <w:sz w:val="24"/>
          <w:szCs w:val="24"/>
          <w:lang w:val="ro-RO"/>
        </w:rPr>
        <w:t>actual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3349EB">
        <w:rPr>
          <w:rFonts w:ascii="Times New Roman" w:hAnsi="Times New Roman" w:cs="Times New Roman"/>
          <w:sz w:val="24"/>
          <w:szCs w:val="24"/>
          <w:lang w:val="ro-RO"/>
        </w:rPr>
        <w:t xml:space="preserve">rezervelor de capital existente, relevat prin 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>indicatori</w:t>
      </w:r>
      <w:r w:rsidR="003349E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 de adecvare a capitalului raportaţi de </w:t>
      </w:r>
      <w:r w:rsidR="00B9656D">
        <w:rPr>
          <w:rFonts w:ascii="Times New Roman" w:hAnsi="Times New Roman" w:cs="Times New Roman"/>
          <w:sz w:val="24"/>
          <w:szCs w:val="24"/>
          <w:lang w:val="ro-RO"/>
        </w:rPr>
        <w:t>acestea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4107F" w:rsidRDefault="0064107F" w:rsidP="00702EA7">
      <w:pPr>
        <w:pStyle w:val="NormalWeb"/>
        <w:spacing w:before="0" w:beforeAutospacing="0" w:after="120" w:afterAutospacing="0"/>
        <w:jc w:val="both"/>
      </w:pPr>
      <w:r>
        <w:t>Membrii CNSF vor</w:t>
      </w:r>
      <w:r w:rsidR="00491D0D">
        <w:t xml:space="preserve"> </w:t>
      </w:r>
      <w:r>
        <w:t>emite periodic recomandări</w:t>
      </w:r>
      <w:r w:rsidR="00491D0D">
        <w:t xml:space="preserve"> </w:t>
      </w:r>
      <w:r>
        <w:t>privind</w:t>
      </w:r>
      <w:r w:rsidR="00491D0D">
        <w:t xml:space="preserve"> </w:t>
      </w:r>
      <w:r>
        <w:t>aplicarea</w:t>
      </w:r>
      <w:r w:rsidR="00491D0D">
        <w:t xml:space="preserve"> </w:t>
      </w:r>
      <w:r>
        <w:t>amortizoarelor de capital în</w:t>
      </w:r>
      <w:r w:rsidR="00491D0D">
        <w:t xml:space="preserve"> </w:t>
      </w:r>
      <w:r>
        <w:t>România.</w:t>
      </w:r>
    </w:p>
    <w:sectPr w:rsidR="0064107F" w:rsidSect="00E33F4A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0B0"/>
    <w:multiLevelType w:val="hybridMultilevel"/>
    <w:tmpl w:val="80A6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4D35"/>
    <w:multiLevelType w:val="hybridMultilevel"/>
    <w:tmpl w:val="540EFE9A"/>
    <w:lvl w:ilvl="0" w:tplc="02AE47D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i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1ADB"/>
    <w:multiLevelType w:val="hybridMultilevel"/>
    <w:tmpl w:val="6010B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724D"/>
    <w:multiLevelType w:val="hybridMultilevel"/>
    <w:tmpl w:val="5C94ECF6"/>
    <w:lvl w:ilvl="0" w:tplc="36281B3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3D7A"/>
    <w:multiLevelType w:val="hybridMultilevel"/>
    <w:tmpl w:val="56D4850C"/>
    <w:lvl w:ilvl="0" w:tplc="C5DCFE3E">
      <w:start w:val="1"/>
      <w:numFmt w:val="lowerRoman"/>
      <w:lvlText w:val="(%1)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601C88"/>
    <w:multiLevelType w:val="hybridMultilevel"/>
    <w:tmpl w:val="85C09AE4"/>
    <w:lvl w:ilvl="0" w:tplc="B8A63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EC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B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8F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8F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28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C3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38458B"/>
    <w:multiLevelType w:val="hybridMultilevel"/>
    <w:tmpl w:val="1CB4ABD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C12C2"/>
    <w:multiLevelType w:val="hybridMultilevel"/>
    <w:tmpl w:val="842E7D1A"/>
    <w:lvl w:ilvl="0" w:tplc="0418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4D4CE5B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92"/>
    <w:rsid w:val="00026596"/>
    <w:rsid w:val="0006237A"/>
    <w:rsid w:val="00091CAC"/>
    <w:rsid w:val="000F6002"/>
    <w:rsid w:val="00160D73"/>
    <w:rsid w:val="00253C33"/>
    <w:rsid w:val="003349EB"/>
    <w:rsid w:val="00375232"/>
    <w:rsid w:val="003A62C2"/>
    <w:rsid w:val="003D6AE6"/>
    <w:rsid w:val="003E535B"/>
    <w:rsid w:val="004324B3"/>
    <w:rsid w:val="00491D0D"/>
    <w:rsid w:val="00512BA1"/>
    <w:rsid w:val="00532D4C"/>
    <w:rsid w:val="00611394"/>
    <w:rsid w:val="00632FBB"/>
    <w:rsid w:val="0064107F"/>
    <w:rsid w:val="00644801"/>
    <w:rsid w:val="00645B7C"/>
    <w:rsid w:val="00676C92"/>
    <w:rsid w:val="006F0ECA"/>
    <w:rsid w:val="00702EA7"/>
    <w:rsid w:val="007D65CE"/>
    <w:rsid w:val="00810D65"/>
    <w:rsid w:val="00862C92"/>
    <w:rsid w:val="008E4525"/>
    <w:rsid w:val="00916EC2"/>
    <w:rsid w:val="00931E3C"/>
    <w:rsid w:val="00932370"/>
    <w:rsid w:val="009375E0"/>
    <w:rsid w:val="009B5968"/>
    <w:rsid w:val="009B637F"/>
    <w:rsid w:val="00A9106A"/>
    <w:rsid w:val="00AB1FC3"/>
    <w:rsid w:val="00AC2B56"/>
    <w:rsid w:val="00B62C8A"/>
    <w:rsid w:val="00B82482"/>
    <w:rsid w:val="00B9656D"/>
    <w:rsid w:val="00B96861"/>
    <w:rsid w:val="00C50C9C"/>
    <w:rsid w:val="00D273FB"/>
    <w:rsid w:val="00D50185"/>
    <w:rsid w:val="00D57CC5"/>
    <w:rsid w:val="00DE44ED"/>
    <w:rsid w:val="00DF2C33"/>
    <w:rsid w:val="00E33F4A"/>
    <w:rsid w:val="00EC1B95"/>
    <w:rsid w:val="00FC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C9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FB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uiPriority w:val="99"/>
    <w:rsid w:val="00916EC2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  <w:lang w:val="ro-RO" w:eastAsia="ro-RO"/>
    </w:rPr>
  </w:style>
  <w:style w:type="paragraph" w:customStyle="1" w:styleId="ln2acttitlu">
    <w:name w:val="ln2acttitlu"/>
    <w:basedOn w:val="Normal"/>
    <w:rsid w:val="00026596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color w:val="000010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C9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FB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uiPriority w:val="99"/>
    <w:rsid w:val="00916EC2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  <w:lang w:val="ro-RO" w:eastAsia="ro-RO"/>
    </w:rPr>
  </w:style>
  <w:style w:type="paragraph" w:customStyle="1" w:styleId="ln2acttitlu">
    <w:name w:val="ln2acttitlu"/>
    <w:basedOn w:val="Normal"/>
    <w:rsid w:val="00026596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color w:val="000010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27D3-5C7D-4016-9B28-53F90685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SRV-HQ-SCCM-01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</dc:creator>
  <cp:lastModifiedBy>Adrian Musulin</cp:lastModifiedBy>
  <cp:revision>2</cp:revision>
  <cp:lastPrinted>2015-11-27T14:59:00Z</cp:lastPrinted>
  <dcterms:created xsi:type="dcterms:W3CDTF">2015-12-18T11:20:00Z</dcterms:created>
  <dcterms:modified xsi:type="dcterms:W3CDTF">2015-12-18T11:20:00Z</dcterms:modified>
</cp:coreProperties>
</file>